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center"/>
        <w:outlineLvl w:val="3"/>
        <w:rPr>
          <w:rFonts w:ascii="宋体" w:hAnsi="宋体"/>
          <w:b/>
          <w:bCs/>
          <w:kern w:val="0"/>
          <w:sz w:val="28"/>
          <w:szCs w:val="28"/>
        </w:rPr>
      </w:pPr>
      <w:r>
        <w:rPr>
          <w:rStyle w:val="12"/>
          <w:rFonts w:hint="eastAsia"/>
        </w:rPr>
        <w:t>CAA高等教育教学成果奖</w:t>
      </w:r>
      <w:r>
        <w:rPr>
          <w:rStyle w:val="12"/>
        </w:rPr>
        <w:t>评选条例</w:t>
      </w:r>
    </w:p>
    <w:p>
      <w:pPr>
        <w:topLinePunct/>
        <w:adjustRightInd w:val="0"/>
        <w:spacing w:line="400" w:lineRule="exact"/>
        <w:jc w:val="center"/>
        <w:rPr>
          <w:rFonts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第一章  总   则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第一条</w:t>
      </w:r>
      <w:r>
        <w:rPr>
          <w:rFonts w:ascii="仿宋" w:hAnsi="仿宋" w:eastAsia="仿宋"/>
          <w:kern w:val="0"/>
          <w:sz w:val="24"/>
        </w:rPr>
        <w:t xml:space="preserve"> </w:t>
      </w:r>
      <w:r>
        <w:rPr>
          <w:rFonts w:hint="eastAsia" w:ascii="仿宋" w:hAnsi="仿宋" w:eastAsia="仿宋"/>
          <w:kern w:val="0"/>
          <w:sz w:val="24"/>
        </w:rPr>
        <w:t>为贯彻落实科教兴国战略，深化教育教学改革，提高人才培养质量，促进中国自动化领域教育事业的发展</w:t>
      </w:r>
      <w:r>
        <w:rPr>
          <w:rFonts w:ascii="仿宋" w:hAnsi="仿宋" w:eastAsia="仿宋"/>
          <w:kern w:val="0"/>
          <w:sz w:val="24"/>
        </w:rPr>
        <w:t>，特设立“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高等教育教学成果</w:t>
      </w:r>
      <w:r>
        <w:rPr>
          <w:rFonts w:ascii="仿宋" w:hAnsi="仿宋" w:eastAsia="仿宋"/>
          <w:kern w:val="0"/>
          <w:sz w:val="24"/>
        </w:rPr>
        <w:t>奖”（以下简称“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高教成果</w:t>
      </w:r>
      <w:r>
        <w:rPr>
          <w:rFonts w:ascii="仿宋" w:hAnsi="仿宋" w:eastAsia="仿宋"/>
          <w:kern w:val="0"/>
          <w:sz w:val="24"/>
        </w:rPr>
        <w:t>奖”）。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第二条</w:t>
      </w:r>
      <w:r>
        <w:rPr>
          <w:rFonts w:ascii="仿宋" w:hAnsi="仿宋" w:eastAsia="仿宋"/>
          <w:kern w:val="0"/>
          <w:sz w:val="24"/>
        </w:rPr>
        <w:t xml:space="preserve"> 本奖项每两年评选一次，</w:t>
      </w:r>
      <w:r>
        <w:rPr>
          <w:rFonts w:hint="eastAsia" w:ascii="仿宋" w:hAnsi="仿宋" w:eastAsia="仿宋"/>
          <w:kern w:val="0"/>
          <w:sz w:val="24"/>
        </w:rPr>
        <w:t>原则上特等奖不多于2项，一等奖不多于10项，二等奖不多于20项。根据当年申报数量按照一定的比例确定当年各奖项的数量，保证评奖质量。</w:t>
      </w:r>
    </w:p>
    <w:p>
      <w:pPr>
        <w:topLinePunct/>
        <w:adjustRightInd w:val="0"/>
        <w:spacing w:line="400" w:lineRule="exact"/>
        <w:jc w:val="center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第二章  入选条件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第三条</w:t>
      </w:r>
      <w:r>
        <w:rPr>
          <w:rFonts w:ascii="仿宋" w:hAnsi="仿宋" w:eastAsia="仿宋"/>
          <w:kern w:val="0"/>
          <w:sz w:val="24"/>
        </w:rPr>
        <w:t xml:space="preserve"> 参加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高教成果</w:t>
      </w:r>
      <w:r>
        <w:rPr>
          <w:rFonts w:ascii="仿宋" w:hAnsi="仿宋" w:eastAsia="仿宋"/>
          <w:kern w:val="0"/>
          <w:sz w:val="24"/>
        </w:rPr>
        <w:t>奖评选应具备以下条件：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1．</w:t>
      </w:r>
      <w:r>
        <w:rPr>
          <w:rFonts w:hint="eastAsia" w:ascii="仿宋" w:hAnsi="仿宋" w:eastAsia="仿宋"/>
          <w:kern w:val="0"/>
          <w:sz w:val="24"/>
        </w:rPr>
        <w:t>直接承担自动化领域高等教育教学工作（含教学管理、教学研究和教学辅助工作），并有三年以上高等教育教学工作的经历。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2．</w:t>
      </w:r>
      <w:r>
        <w:rPr>
          <w:rFonts w:hint="eastAsia" w:ascii="仿宋" w:hAnsi="仿宋" w:eastAsia="仿宋"/>
          <w:kern w:val="0"/>
          <w:sz w:val="24"/>
        </w:rPr>
        <w:t>直接参加成果的方案设计、论证、研究和实施全过程，并做出主要贡献。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3．</w:t>
      </w:r>
      <w:r>
        <w:rPr>
          <w:rFonts w:hint="eastAsia" w:ascii="仿宋" w:hAnsi="仿宋" w:eastAsia="仿宋"/>
          <w:kern w:val="0"/>
          <w:sz w:val="24"/>
        </w:rPr>
        <w:t xml:space="preserve">教学成果完成的时间应不少于三年，符合党的教育方针、政策，并经过至少两年实践检验，具有先进性、示范推广作用。实践检验起始时间从实施该教育教学方案开始计算，不含方案设计、论证和制定时间。 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4、申请</w:t>
      </w:r>
      <w:r>
        <w:rPr>
          <w:rFonts w:ascii="仿宋" w:hAnsi="仿宋" w:eastAsia="仿宋"/>
          <w:kern w:val="0"/>
          <w:sz w:val="24"/>
        </w:rPr>
        <w:t>“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高教成果</w:t>
      </w:r>
      <w:r>
        <w:rPr>
          <w:rFonts w:ascii="仿宋" w:hAnsi="仿宋" w:eastAsia="仿宋"/>
          <w:kern w:val="0"/>
          <w:sz w:val="24"/>
        </w:rPr>
        <w:t>奖”的</w:t>
      </w:r>
      <w:r>
        <w:rPr>
          <w:rFonts w:hint="eastAsia" w:ascii="仿宋" w:hAnsi="仿宋" w:eastAsia="仿宋"/>
          <w:kern w:val="0"/>
          <w:sz w:val="24"/>
        </w:rPr>
        <w:t>项目完成人不能超过6名。</w:t>
      </w:r>
    </w:p>
    <w:p>
      <w:pPr>
        <w:topLinePunct/>
        <w:adjustRightInd w:val="0"/>
        <w:spacing w:line="400" w:lineRule="exact"/>
        <w:jc w:val="center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第三章  推荐程序和要求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第四条</w:t>
      </w:r>
      <w:r>
        <w:rPr>
          <w:rFonts w:hint="eastAsia" w:ascii="仿宋" w:hAnsi="仿宋" w:eastAsia="仿宋"/>
          <w:b/>
          <w:bCs/>
          <w:kern w:val="0"/>
          <w:sz w:val="24"/>
        </w:rPr>
        <w:t xml:space="preserve"> </w:t>
      </w:r>
      <w:r>
        <w:rPr>
          <w:rFonts w:ascii="仿宋" w:hAnsi="仿宋" w:eastAsia="仿宋"/>
          <w:kern w:val="0"/>
          <w:sz w:val="24"/>
        </w:rPr>
        <w:t>本奖项</w:t>
      </w:r>
      <w:r>
        <w:rPr>
          <w:rFonts w:hint="eastAsia" w:ascii="仿宋" w:hAnsi="仿宋" w:eastAsia="仿宋"/>
          <w:kern w:val="0"/>
          <w:sz w:val="24"/>
        </w:rPr>
        <w:t>实行单位推荐制。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第五条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接受各单位推荐的候选</w:t>
      </w:r>
      <w:r>
        <w:rPr>
          <w:rFonts w:hint="eastAsia" w:ascii="仿宋" w:hAnsi="仿宋" w:eastAsia="仿宋"/>
          <w:kern w:val="0"/>
          <w:sz w:val="24"/>
        </w:rPr>
        <w:t>项目，</w:t>
      </w:r>
      <w:r>
        <w:rPr>
          <w:rFonts w:ascii="仿宋" w:hAnsi="仿宋" w:eastAsia="仿宋"/>
          <w:kern w:val="0"/>
          <w:sz w:val="24"/>
        </w:rPr>
        <w:t>包括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分支机构推荐，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理事单位推荐，省级自动化学会推荐，教育部正式批准的高等学校推荐。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原则上每个单位</w:t>
      </w:r>
      <w:r>
        <w:rPr>
          <w:rFonts w:ascii="仿宋" w:hAnsi="仿宋" w:eastAsia="仿宋"/>
          <w:kern w:val="0"/>
          <w:sz w:val="24"/>
        </w:rPr>
        <w:t>最多推荐</w:t>
      </w:r>
      <w:r>
        <w:rPr>
          <w:rFonts w:hint="eastAsia" w:ascii="仿宋" w:hAnsi="仿宋" w:eastAsia="仿宋"/>
          <w:kern w:val="0"/>
          <w:sz w:val="24"/>
        </w:rPr>
        <w:t>2个项目（需</w:t>
      </w:r>
      <w:r>
        <w:rPr>
          <w:rFonts w:ascii="仿宋" w:hAnsi="仿宋" w:eastAsia="仿宋"/>
          <w:kern w:val="0"/>
          <w:sz w:val="24"/>
        </w:rPr>
        <w:t>排序</w:t>
      </w:r>
      <w:r>
        <w:rPr>
          <w:rFonts w:hint="eastAsia" w:ascii="仿宋" w:hAnsi="仿宋" w:eastAsia="仿宋"/>
          <w:kern w:val="0"/>
          <w:sz w:val="24"/>
        </w:rPr>
        <w:t>）。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第六条</w:t>
      </w:r>
      <w:r>
        <w:rPr>
          <w:rFonts w:ascii="仿宋" w:hAnsi="仿宋" w:eastAsia="仿宋"/>
          <w:kern w:val="0"/>
          <w:sz w:val="24"/>
        </w:rPr>
        <w:t xml:space="preserve"> </w:t>
      </w:r>
      <w:r>
        <w:rPr>
          <w:rFonts w:hint="eastAsia" w:ascii="仿宋" w:hAnsi="仿宋" w:eastAsia="仿宋"/>
          <w:kern w:val="0"/>
          <w:sz w:val="24"/>
        </w:rPr>
        <w:t>推荐项目需提交推荐书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和</w:t>
      </w:r>
      <w:r>
        <w:rPr>
          <w:rFonts w:hint="eastAsia" w:ascii="仿宋" w:hAnsi="仿宋" w:eastAsia="仿宋"/>
          <w:kern w:val="0"/>
          <w:sz w:val="24"/>
        </w:rPr>
        <w:t>项目简要情况表。推荐书电子版和书面版需保持一致。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第四章  评</w:t>
      </w:r>
      <w:r>
        <w:rPr>
          <w:rFonts w:hint="eastAsia" w:ascii="仿宋" w:hAnsi="仿宋" w:eastAsia="仿宋"/>
          <w:b/>
          <w:kern w:val="0"/>
          <w:sz w:val="24"/>
        </w:rPr>
        <w:t>定标准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/>
          <w:bCs/>
          <w:kern w:val="0"/>
          <w:sz w:val="24"/>
        </w:rPr>
        <w:t>第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kern w:val="0"/>
          <w:sz w:val="24"/>
        </w:rPr>
        <w:t>条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高等教育教学成果奖授予在中国自动化领域从事教学实践、教学管理或教育研究、教育管理，并取得突出成绩、做出突出贡献的教学工作者或是教育管理者。评定标准如下： 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1.特等奖授予在我国自动化领域对高等教育教学实践、教学管理或教育研究、教育管理取得重大成果和做出重大贡献的集体或个人。已有成果的推广应用不在特等奖的评选范围内。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2.一等奖授予在我国自动化科技领域对高等教育教学实践、教学管理或教育研究、教育管理取得优秀成果和做出突出贡献的集体或个人。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3.二等奖授予在我国自动化科技领域对高等教育教学实践、教学管理或教育研究、教育管理取得较大成果和做出较大贡献的集体或个人。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第</w:t>
      </w:r>
      <w:r>
        <w:rPr>
          <w:rFonts w:hint="eastAsia" w:ascii="仿宋" w:hAnsi="仿宋" w:eastAsia="仿宋"/>
          <w:b/>
          <w:kern w:val="0"/>
          <w:sz w:val="24"/>
        </w:rPr>
        <w:t>五</w:t>
      </w:r>
      <w:r>
        <w:rPr>
          <w:rFonts w:ascii="仿宋" w:hAnsi="仿宋" w:eastAsia="仿宋"/>
          <w:b/>
          <w:kern w:val="0"/>
          <w:sz w:val="24"/>
        </w:rPr>
        <w:t>章  评审程序</w:t>
      </w:r>
    </w:p>
    <w:p>
      <w:pPr>
        <w:widowControl/>
        <w:adjustRightInd w:val="0"/>
        <w:snapToGrid w:val="0"/>
        <w:spacing w:line="400" w:lineRule="exact"/>
        <w:ind w:firstLine="435"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八</w:t>
      </w:r>
      <w:r>
        <w:rPr>
          <w:rFonts w:ascii="仿宋" w:hAnsi="仿宋" w:eastAsia="仿宋"/>
          <w:b/>
          <w:bCs/>
          <w:kern w:val="0"/>
          <w:sz w:val="24"/>
        </w:rPr>
        <w:t xml:space="preserve">条 </w:t>
      </w:r>
      <w:r>
        <w:rPr>
          <w:rFonts w:ascii="仿宋" w:hAnsi="仿宋" w:eastAsia="仿宋"/>
          <w:kern w:val="0"/>
          <w:sz w:val="24"/>
        </w:rPr>
        <w:t>由</w:t>
      </w:r>
      <w:r>
        <w:rPr>
          <w:rFonts w:eastAsia="仿宋"/>
          <w:sz w:val="24"/>
        </w:rPr>
        <w:t>CAA</w:t>
      </w:r>
      <w:r>
        <w:rPr>
          <w:rFonts w:hint="eastAsia" w:ascii="仿宋" w:hAnsi="仿宋" w:eastAsia="仿宋"/>
          <w:sz w:val="24"/>
        </w:rPr>
        <w:t>奖励委员会授权，高教成果奖励委员会</w:t>
      </w:r>
      <w:r>
        <w:rPr>
          <w:rFonts w:ascii="仿宋" w:hAnsi="仿宋" w:eastAsia="仿宋"/>
          <w:sz w:val="24"/>
        </w:rPr>
        <w:t>负责组织</w:t>
      </w:r>
      <w:r>
        <w:rPr>
          <w:rFonts w:ascii="仿宋" w:hAnsi="仿宋" w:eastAsia="仿宋"/>
          <w:kern w:val="0"/>
          <w:sz w:val="24"/>
        </w:rPr>
        <w:t>“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高教成果</w:t>
      </w:r>
      <w:r>
        <w:rPr>
          <w:rFonts w:ascii="仿宋" w:hAnsi="仿宋" w:eastAsia="仿宋"/>
          <w:kern w:val="0"/>
          <w:sz w:val="24"/>
        </w:rPr>
        <w:t>奖”的评审工作</w:t>
      </w:r>
      <w:r>
        <w:rPr>
          <w:rFonts w:hint="eastAsia" w:ascii="仿宋" w:hAnsi="仿宋" w:eastAsia="仿宋"/>
          <w:kern w:val="0"/>
          <w:sz w:val="24"/>
        </w:rPr>
        <w:t>。</w:t>
      </w:r>
    </w:p>
    <w:p>
      <w:pPr>
        <w:widowControl/>
        <w:adjustRightInd w:val="0"/>
        <w:snapToGrid w:val="0"/>
        <w:spacing w:line="400" w:lineRule="exact"/>
        <w:ind w:firstLine="435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九</w:t>
      </w:r>
      <w:r>
        <w:rPr>
          <w:rFonts w:ascii="仿宋" w:hAnsi="仿宋" w:eastAsia="仿宋"/>
          <w:b/>
          <w:bCs/>
          <w:kern w:val="0"/>
          <w:sz w:val="24"/>
        </w:rPr>
        <w:t xml:space="preserve">条 </w:t>
      </w:r>
      <w:r>
        <w:rPr>
          <w:rFonts w:hint="eastAsia" w:ascii="仿宋" w:hAnsi="仿宋" w:eastAsia="仿宋"/>
          <w:sz w:val="24"/>
        </w:rPr>
        <w:t>评审表决规则如下：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1. </w:t>
      </w:r>
      <w:r>
        <w:rPr>
          <w:rFonts w:hint="eastAsia" w:ascii="仿宋" w:hAnsi="仿宋" w:eastAsia="仿宋" w:cs="Times New Roman"/>
        </w:rPr>
        <w:t>初评以网络评审或者会议评审方式进行，以记名限额投票表决产生初评结果。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 xml:space="preserve">2. </w:t>
      </w:r>
      <w:r>
        <w:rPr>
          <w:rFonts w:ascii="Times New Roman" w:hAnsi="Times New Roman" w:eastAsia="仿宋" w:cs="Times New Roman"/>
        </w:rPr>
        <w:t>CAA</w:t>
      </w:r>
      <w:r>
        <w:rPr>
          <w:rFonts w:hint="eastAsia" w:ascii="仿宋" w:hAnsi="仿宋" w:eastAsia="仿宋" w:cs="Times New Roman"/>
        </w:rPr>
        <w:t>高教成果奖评审委员会以会议方式进行评审，以记名投票表决产生评审结果。  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3.</w:t>
      </w:r>
      <w:r>
        <w:rPr>
          <w:rFonts w:ascii="Times New Roman" w:hAnsi="Times New Roman" w:eastAsia="仿宋" w:cs="Times New Roman"/>
        </w:rPr>
        <w:t>CAA</w:t>
      </w:r>
      <w:r>
        <w:rPr>
          <w:rFonts w:hint="eastAsia" w:ascii="仿宋" w:hAnsi="仿宋" w:eastAsia="仿宋" w:cs="Times New Roman"/>
        </w:rPr>
        <w:t>奖励委员会以会议方式对各评审委员会的评审结果进行审定。其中，特等奖以记名投票表决方式进行审定</w:t>
      </w:r>
      <w:r>
        <w:rPr>
          <w:rFonts w:ascii="仿宋" w:hAnsi="仿宋" w:eastAsia="仿宋" w:cs="Times New Roman"/>
        </w:rPr>
        <w:t>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4.</w:t>
      </w:r>
      <w:r>
        <w:rPr>
          <w:rFonts w:ascii="Times New Roman" w:hAnsi="Times New Roman" w:eastAsia="仿宋" w:cs="Times New Roman"/>
        </w:rPr>
        <w:t>CAA</w:t>
      </w:r>
      <w:r>
        <w:rPr>
          <w:rFonts w:hint="eastAsia" w:ascii="仿宋" w:hAnsi="仿宋" w:eastAsia="仿宋" w:cs="Times New Roman"/>
        </w:rPr>
        <w:t xml:space="preserve"> 奖励委员会及 </w:t>
      </w:r>
      <w:r>
        <w:rPr>
          <w:rFonts w:ascii="Times New Roman" w:hAnsi="Times New Roman" w:eastAsia="仿宋" w:cs="Times New Roman"/>
        </w:rPr>
        <w:t>CAA</w:t>
      </w:r>
      <w:r>
        <w:rPr>
          <w:rFonts w:hint="eastAsia" w:ascii="仿宋" w:hAnsi="仿宋" w:eastAsia="仿宋" w:cs="Times New Roman"/>
        </w:rPr>
        <w:t xml:space="preserve"> 高教成果奖评审委员会、评审组的评审表决应当有2/3以上多数（含 2/3）委员参加，表决结果有效。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5.</w:t>
      </w:r>
      <w:r>
        <w:rPr>
          <w:rFonts w:ascii="Times New Roman" w:hAnsi="Times New Roman" w:eastAsia="仿宋" w:cs="Times New Roman"/>
        </w:rPr>
        <w:t xml:space="preserve">CAA </w:t>
      </w:r>
      <w:r>
        <w:rPr>
          <w:rFonts w:hint="eastAsia" w:ascii="仿宋" w:hAnsi="仿宋" w:eastAsia="仿宋" w:cs="Times New Roman"/>
        </w:rPr>
        <w:t>高教成果奖的特等奖、一等奖应当由到会委员的 2/3以上多数（含2/3）通过；二等奖应当由到会委员的1/2以上多数（不含1/2）通过。</w:t>
      </w:r>
    </w:p>
    <w:p>
      <w:pPr>
        <w:topLinePunct/>
        <w:adjustRightInd w:val="0"/>
        <w:spacing w:line="400" w:lineRule="exact"/>
        <w:jc w:val="center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</w:t>
      </w:r>
      <w:r>
        <w:rPr>
          <w:rFonts w:hint="eastAsia" w:ascii="仿宋" w:hAnsi="仿宋" w:eastAsia="仿宋"/>
          <w:b/>
          <w:bCs/>
          <w:kern w:val="0"/>
          <w:sz w:val="24"/>
        </w:rPr>
        <w:t>六</w:t>
      </w:r>
      <w:r>
        <w:rPr>
          <w:rFonts w:ascii="仿宋" w:hAnsi="仿宋" w:eastAsia="仿宋"/>
          <w:b/>
          <w:bCs/>
          <w:kern w:val="0"/>
          <w:sz w:val="24"/>
        </w:rPr>
        <w:t>章  评奖约束及惩罚条款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第十条</w:t>
      </w:r>
      <w:r>
        <w:rPr>
          <w:rFonts w:ascii="仿宋" w:hAnsi="仿宋" w:eastAsia="仿宋"/>
          <w:kern w:val="0"/>
          <w:sz w:val="24"/>
        </w:rPr>
        <w:t xml:space="preserve"> 评奖委员会成员、评审专家以及与评奖有关的工作人员须遵守如下规则：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1．不得接受被参评</w:t>
      </w:r>
      <w:r>
        <w:rPr>
          <w:rFonts w:hint="eastAsia" w:ascii="仿宋" w:hAnsi="仿宋" w:eastAsia="仿宋"/>
          <w:kern w:val="0"/>
          <w:sz w:val="24"/>
        </w:rPr>
        <w:t>项目</w:t>
      </w:r>
      <w:r>
        <w:rPr>
          <w:rFonts w:ascii="仿宋" w:hAnsi="仿宋" w:eastAsia="仿宋"/>
          <w:kern w:val="0"/>
          <w:sz w:val="24"/>
        </w:rPr>
        <w:t>作者的钱物和其他任何形式的赠与；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2．按本条例第十</w:t>
      </w:r>
      <w:r>
        <w:rPr>
          <w:rFonts w:hint="eastAsia" w:ascii="仿宋" w:hAnsi="仿宋" w:eastAsia="仿宋"/>
          <w:kern w:val="0"/>
          <w:sz w:val="24"/>
        </w:rPr>
        <w:t>三</w:t>
      </w:r>
      <w:r>
        <w:rPr>
          <w:rFonts w:ascii="仿宋" w:hAnsi="仿宋" w:eastAsia="仿宋"/>
          <w:kern w:val="0"/>
          <w:sz w:val="24"/>
        </w:rPr>
        <w:t>条之规定回避；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3．其他应遵守的职业操守。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违反本条规则者，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将视情形给予警告或取消参与评奖资格的处罚，且三年（含）内不得再次担任评委。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一</w:t>
      </w:r>
      <w:r>
        <w:rPr>
          <w:rFonts w:ascii="仿宋" w:hAnsi="仿宋" w:eastAsia="仿宋"/>
          <w:b/>
          <w:bCs/>
          <w:kern w:val="0"/>
          <w:sz w:val="24"/>
        </w:rPr>
        <w:t>条</w:t>
      </w:r>
      <w:r>
        <w:rPr>
          <w:rFonts w:ascii="仿宋" w:hAnsi="仿宋" w:eastAsia="仿宋"/>
          <w:kern w:val="0"/>
          <w:sz w:val="24"/>
        </w:rPr>
        <w:t xml:space="preserve"> 申请参评的人士和推荐者应遵守如下规则：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1．不得向评奖委员会或有关人员赠与或以变相形式赠与钱物；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2．不得向评奖委员会或有关人员说情或委托他人说情；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3．评奖结果公布前，不向评奖委员会或评奖工作人员打听评奖消息。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违反本条规则者，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将视情形给予警告或取消申请者参评资格的处罚；如推荐单位违反本条规定，则三年（含）内不得再次推荐。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二</w:t>
      </w:r>
      <w:r>
        <w:rPr>
          <w:rFonts w:ascii="仿宋" w:hAnsi="仿宋" w:eastAsia="仿宋"/>
          <w:b/>
          <w:bCs/>
          <w:kern w:val="0"/>
          <w:sz w:val="24"/>
        </w:rPr>
        <w:t>条</w:t>
      </w:r>
      <w:r>
        <w:rPr>
          <w:rFonts w:ascii="仿宋" w:hAnsi="仿宋" w:eastAsia="仿宋"/>
          <w:kern w:val="0"/>
          <w:sz w:val="24"/>
        </w:rPr>
        <w:t xml:space="preserve"> 有如下情形，评奖委员会成员应当回避：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1．终评时，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奖励委员会成员</w:t>
      </w:r>
      <w:r>
        <w:rPr>
          <w:rFonts w:hint="eastAsia" w:ascii="仿宋" w:hAnsi="仿宋" w:eastAsia="仿宋"/>
          <w:kern w:val="0"/>
          <w:sz w:val="24"/>
        </w:rPr>
        <w:t>作为项目完成人的项目</w:t>
      </w:r>
      <w:r>
        <w:rPr>
          <w:rFonts w:ascii="仿宋" w:hAnsi="仿宋" w:eastAsia="仿宋"/>
          <w:kern w:val="0"/>
          <w:sz w:val="24"/>
        </w:rPr>
        <w:t>参评；</w:t>
      </w:r>
    </w:p>
    <w:p>
      <w:pPr>
        <w:topLinePunct/>
        <w:adjustRightInd w:val="0"/>
        <w:spacing w:line="400" w:lineRule="exact"/>
        <w:ind w:firstLine="480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2．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奖励委员会成员与已入围</w:t>
      </w:r>
      <w:r>
        <w:rPr>
          <w:rFonts w:hint="eastAsia" w:ascii="仿宋" w:hAnsi="仿宋" w:eastAsia="仿宋"/>
          <w:kern w:val="0"/>
          <w:sz w:val="24"/>
        </w:rPr>
        <w:t>项目完成人</w:t>
      </w:r>
      <w:r>
        <w:rPr>
          <w:rFonts w:ascii="仿宋" w:hAnsi="仿宋" w:eastAsia="仿宋"/>
          <w:kern w:val="0"/>
          <w:sz w:val="24"/>
        </w:rPr>
        <w:t>有亲戚关系以及其他可能被认为有碍公正评奖的关系。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三</w:t>
      </w:r>
      <w:r>
        <w:rPr>
          <w:rFonts w:ascii="仿宋" w:hAnsi="仿宋" w:eastAsia="仿宋"/>
          <w:b/>
          <w:bCs/>
          <w:kern w:val="0"/>
          <w:sz w:val="24"/>
        </w:rPr>
        <w:t xml:space="preserve">条 </w:t>
      </w:r>
      <w:r>
        <w:rPr>
          <w:rFonts w:ascii="仿宋" w:hAnsi="仿宋" w:eastAsia="仿宋"/>
          <w:kern w:val="0"/>
          <w:sz w:val="24"/>
        </w:rPr>
        <w:t>对于上述情形的处罚结果，由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予以公布。</w:t>
      </w:r>
    </w:p>
    <w:p>
      <w:pPr>
        <w:topLinePunct/>
        <w:adjustRightInd w:val="0"/>
        <w:spacing w:line="400" w:lineRule="exact"/>
        <w:jc w:val="center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</w:t>
      </w:r>
      <w:r>
        <w:rPr>
          <w:rFonts w:hint="eastAsia" w:ascii="仿宋" w:hAnsi="仿宋" w:eastAsia="仿宋"/>
          <w:b/>
          <w:bCs/>
          <w:kern w:val="0"/>
          <w:sz w:val="24"/>
        </w:rPr>
        <w:t>七</w:t>
      </w:r>
      <w:r>
        <w:rPr>
          <w:rFonts w:ascii="仿宋" w:hAnsi="仿宋" w:eastAsia="仿宋"/>
          <w:b/>
          <w:bCs/>
          <w:kern w:val="0"/>
          <w:sz w:val="24"/>
        </w:rPr>
        <w:t>章  奖励方式</w:t>
      </w:r>
    </w:p>
    <w:p>
      <w:pPr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四</w:t>
      </w:r>
      <w:r>
        <w:rPr>
          <w:rFonts w:ascii="仿宋" w:hAnsi="仿宋" w:eastAsia="仿宋"/>
          <w:b/>
          <w:bCs/>
          <w:kern w:val="0"/>
          <w:sz w:val="24"/>
        </w:rPr>
        <w:t>条</w:t>
      </w:r>
      <w:r>
        <w:rPr>
          <w:rFonts w:eastAsia="仿宋"/>
          <w:b/>
          <w:bCs/>
          <w:kern w:val="0"/>
          <w:sz w:val="24"/>
        </w:rPr>
        <w:t xml:space="preserve"> </w:t>
      </w:r>
      <w:r>
        <w:rPr>
          <w:rFonts w:eastAsia="仿宋"/>
          <w:kern w:val="0"/>
          <w:sz w:val="24"/>
        </w:rPr>
        <w:t>CAA</w:t>
      </w:r>
      <w:r>
        <w:rPr>
          <w:rFonts w:hint="eastAsia" w:ascii="仿宋" w:hAnsi="仿宋" w:eastAsia="仿宋"/>
          <w:kern w:val="0"/>
          <w:sz w:val="24"/>
        </w:rPr>
        <w:t>在网站上</w:t>
      </w:r>
      <w:r>
        <w:rPr>
          <w:rFonts w:ascii="仿宋" w:hAnsi="仿宋" w:eastAsia="仿宋"/>
          <w:kern w:val="0"/>
          <w:sz w:val="24"/>
        </w:rPr>
        <w:t>公布“中国自动化学会</w:t>
      </w:r>
      <w:r>
        <w:rPr>
          <w:rFonts w:hint="eastAsia" w:ascii="仿宋" w:hAnsi="仿宋" w:eastAsia="仿宋"/>
          <w:kern w:val="0"/>
          <w:sz w:val="24"/>
        </w:rPr>
        <w:t>高教成果</w:t>
      </w:r>
      <w:r>
        <w:rPr>
          <w:rFonts w:ascii="仿宋" w:hAnsi="仿宋" w:eastAsia="仿宋"/>
          <w:kern w:val="0"/>
          <w:sz w:val="24"/>
        </w:rPr>
        <w:t>奖”获奖</w:t>
      </w:r>
      <w:r>
        <w:rPr>
          <w:rFonts w:hint="eastAsia" w:ascii="仿宋" w:hAnsi="仿宋" w:eastAsia="仿宋"/>
          <w:kern w:val="0"/>
          <w:sz w:val="24"/>
        </w:rPr>
        <w:t>名单</w:t>
      </w:r>
      <w:r>
        <w:rPr>
          <w:rFonts w:ascii="仿宋" w:hAnsi="仿宋" w:eastAsia="仿宋"/>
          <w:kern w:val="0"/>
          <w:sz w:val="24"/>
        </w:rPr>
        <w:t>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五</w:t>
      </w:r>
      <w:r>
        <w:rPr>
          <w:rFonts w:ascii="仿宋" w:hAnsi="仿宋" w:eastAsia="仿宋"/>
          <w:b/>
          <w:bCs/>
          <w:kern w:val="0"/>
          <w:sz w:val="24"/>
        </w:rPr>
        <w:t>条</w:t>
      </w:r>
      <w:r>
        <w:rPr>
          <w:rFonts w:ascii="仿宋" w:hAnsi="仿宋" w:eastAsia="仿宋"/>
          <w:kern w:val="0"/>
          <w:sz w:val="24"/>
        </w:rPr>
        <w:t xml:space="preserve"> 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对获奖的</w:t>
      </w:r>
      <w:r>
        <w:rPr>
          <w:rFonts w:hint="eastAsia" w:ascii="仿宋" w:hAnsi="仿宋" w:eastAsia="仿宋"/>
          <w:kern w:val="0"/>
          <w:sz w:val="24"/>
        </w:rPr>
        <w:t>项目</w:t>
      </w:r>
      <w:r>
        <w:rPr>
          <w:rFonts w:ascii="仿宋" w:hAnsi="仿宋" w:eastAsia="仿宋"/>
          <w:kern w:val="0"/>
          <w:sz w:val="24"/>
        </w:rPr>
        <w:t>颁发获奖证书。</w:t>
      </w:r>
    </w:p>
    <w:p>
      <w:pPr>
        <w:topLinePunct/>
        <w:adjustRightInd w:val="0"/>
        <w:spacing w:line="400" w:lineRule="exact"/>
        <w:jc w:val="center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第八章  附 则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六</w:t>
      </w:r>
      <w:r>
        <w:rPr>
          <w:rFonts w:ascii="仿宋" w:hAnsi="仿宋" w:eastAsia="仿宋"/>
          <w:b/>
          <w:bCs/>
          <w:kern w:val="0"/>
          <w:sz w:val="24"/>
        </w:rPr>
        <w:t>条</w:t>
      </w:r>
      <w:r>
        <w:rPr>
          <w:rFonts w:ascii="仿宋" w:hAnsi="仿宋" w:eastAsia="仿宋"/>
          <w:kern w:val="0"/>
          <w:sz w:val="24"/>
        </w:rPr>
        <w:t xml:space="preserve"> 在评议过程中，若发现被评</w:t>
      </w:r>
      <w:r>
        <w:rPr>
          <w:rFonts w:hint="eastAsia" w:ascii="仿宋" w:hAnsi="仿宋" w:eastAsia="仿宋"/>
          <w:kern w:val="0"/>
          <w:sz w:val="24"/>
        </w:rPr>
        <w:t>项目</w:t>
      </w:r>
      <w:r>
        <w:rPr>
          <w:rFonts w:ascii="仿宋" w:hAnsi="仿宋" w:eastAsia="仿宋"/>
          <w:kern w:val="0"/>
          <w:sz w:val="24"/>
        </w:rPr>
        <w:t>有作者抄袭、剽窃等学术道德问题时，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奖励委员会有权取消该</w:t>
      </w:r>
      <w:r>
        <w:rPr>
          <w:rFonts w:hint="eastAsia" w:ascii="仿宋" w:hAnsi="仿宋" w:eastAsia="仿宋"/>
          <w:kern w:val="0"/>
          <w:sz w:val="24"/>
        </w:rPr>
        <w:t>项目</w:t>
      </w:r>
      <w:r>
        <w:rPr>
          <w:rFonts w:ascii="仿宋" w:hAnsi="仿宋" w:eastAsia="仿宋"/>
          <w:kern w:val="0"/>
          <w:sz w:val="24"/>
        </w:rPr>
        <w:t>的参评资格；若在颁奖之后发现上述问题，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将取消其获奖资格，收回证书，并予公布。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七</w:t>
      </w:r>
      <w:r>
        <w:rPr>
          <w:rFonts w:ascii="仿宋" w:hAnsi="仿宋" w:eastAsia="仿宋"/>
          <w:b/>
          <w:bCs/>
          <w:kern w:val="0"/>
          <w:sz w:val="24"/>
        </w:rPr>
        <w:t>条</w:t>
      </w:r>
      <w:r>
        <w:rPr>
          <w:rFonts w:ascii="仿宋" w:hAnsi="仿宋" w:eastAsia="仿宋"/>
          <w:kern w:val="0"/>
          <w:sz w:val="24"/>
        </w:rPr>
        <w:t xml:space="preserve"> 本条例由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常务理事会通过后生效。</w:t>
      </w:r>
    </w:p>
    <w:p>
      <w:pPr>
        <w:topLinePunct/>
        <w:adjustRightInd w:val="0"/>
        <w:spacing w:line="400" w:lineRule="exact"/>
        <w:ind w:firstLine="482" w:firstLineChars="200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bCs/>
          <w:kern w:val="0"/>
          <w:sz w:val="24"/>
        </w:rPr>
        <w:t>第十</w:t>
      </w: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八</w:t>
      </w:r>
      <w:bookmarkStart w:id="0" w:name="_GoBack"/>
      <w:bookmarkEnd w:id="0"/>
      <w:r>
        <w:rPr>
          <w:rFonts w:ascii="仿宋" w:hAnsi="仿宋" w:eastAsia="仿宋"/>
          <w:b/>
          <w:bCs/>
          <w:kern w:val="0"/>
          <w:sz w:val="24"/>
        </w:rPr>
        <w:t>条</w:t>
      </w:r>
      <w:r>
        <w:rPr>
          <w:rFonts w:ascii="仿宋" w:hAnsi="仿宋" w:eastAsia="仿宋"/>
          <w:kern w:val="0"/>
          <w:sz w:val="24"/>
        </w:rPr>
        <w:t xml:space="preserve"> 本条例由</w:t>
      </w:r>
      <w:r>
        <w:rPr>
          <w:rFonts w:eastAsia="仿宋"/>
          <w:kern w:val="0"/>
          <w:sz w:val="24"/>
        </w:rPr>
        <w:t>CAA</w:t>
      </w:r>
      <w:r>
        <w:rPr>
          <w:rFonts w:ascii="仿宋" w:hAnsi="仿宋" w:eastAsia="仿宋"/>
          <w:kern w:val="0"/>
          <w:sz w:val="24"/>
        </w:rPr>
        <w:t>常务理事会负责解释。</w:t>
      </w:r>
    </w:p>
    <w:p>
      <w:pPr>
        <w:spacing w:line="400" w:lineRule="exact"/>
        <w:jc w:val="right"/>
        <w:rPr>
          <w:rFonts w:ascii="仿宋" w:hAnsi="仿宋" w:eastAsia="仿宋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5F"/>
    <w:rsid w:val="00005FA0"/>
    <w:rsid w:val="00011710"/>
    <w:rsid w:val="00014B58"/>
    <w:rsid w:val="0003408F"/>
    <w:rsid w:val="00042B70"/>
    <w:rsid w:val="000456DC"/>
    <w:rsid w:val="00116457"/>
    <w:rsid w:val="001B6895"/>
    <w:rsid w:val="001D56AB"/>
    <w:rsid w:val="001D665E"/>
    <w:rsid w:val="00201DF2"/>
    <w:rsid w:val="00234C6A"/>
    <w:rsid w:val="00243ED8"/>
    <w:rsid w:val="002F6306"/>
    <w:rsid w:val="00384CFB"/>
    <w:rsid w:val="00396DD5"/>
    <w:rsid w:val="003B5C6E"/>
    <w:rsid w:val="003B7C02"/>
    <w:rsid w:val="0048049B"/>
    <w:rsid w:val="00483D8E"/>
    <w:rsid w:val="004A275E"/>
    <w:rsid w:val="005157E3"/>
    <w:rsid w:val="005F635B"/>
    <w:rsid w:val="00636EAF"/>
    <w:rsid w:val="00675572"/>
    <w:rsid w:val="006B41BE"/>
    <w:rsid w:val="006B7ED7"/>
    <w:rsid w:val="006D67B8"/>
    <w:rsid w:val="007735F7"/>
    <w:rsid w:val="00783961"/>
    <w:rsid w:val="007D1C86"/>
    <w:rsid w:val="007D4820"/>
    <w:rsid w:val="00800CF4"/>
    <w:rsid w:val="008071CC"/>
    <w:rsid w:val="008165F9"/>
    <w:rsid w:val="0084709C"/>
    <w:rsid w:val="008C69CF"/>
    <w:rsid w:val="009453F2"/>
    <w:rsid w:val="00961F22"/>
    <w:rsid w:val="00962711"/>
    <w:rsid w:val="00977612"/>
    <w:rsid w:val="0098336A"/>
    <w:rsid w:val="00987400"/>
    <w:rsid w:val="009C4E16"/>
    <w:rsid w:val="009D49F2"/>
    <w:rsid w:val="009D59C2"/>
    <w:rsid w:val="009E4132"/>
    <w:rsid w:val="00A834E0"/>
    <w:rsid w:val="00BE5C16"/>
    <w:rsid w:val="00BF02B3"/>
    <w:rsid w:val="00C35680"/>
    <w:rsid w:val="00C5538F"/>
    <w:rsid w:val="00CB7613"/>
    <w:rsid w:val="00D55522"/>
    <w:rsid w:val="00D8260F"/>
    <w:rsid w:val="00D91C6D"/>
    <w:rsid w:val="00DF69FB"/>
    <w:rsid w:val="00E42BF9"/>
    <w:rsid w:val="00E602D5"/>
    <w:rsid w:val="00EC025F"/>
    <w:rsid w:val="00F274C0"/>
    <w:rsid w:val="00FC31CC"/>
    <w:rsid w:val="00FD61D5"/>
    <w:rsid w:val="00FD74F7"/>
    <w:rsid w:val="19BD1DE6"/>
    <w:rsid w:val="264C4C76"/>
    <w:rsid w:val="384652E9"/>
    <w:rsid w:val="5B253F4A"/>
    <w:rsid w:val="68BD383D"/>
    <w:rsid w:val="754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8">
    <w:name w:val="p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xwbt1"/>
    <w:basedOn w:val="5"/>
    <w:qFormat/>
    <w:uiPriority w:val="0"/>
    <w:rPr>
      <w:b/>
      <w:bCs/>
      <w:sz w:val="37"/>
      <w:szCs w:val="37"/>
    </w:rPr>
  </w:style>
  <w:style w:type="character" w:customStyle="1" w:styleId="13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0DCE2-09B7-4D93-902F-28986C834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1697</Characters>
  <Lines>14</Lines>
  <Paragraphs>3</Paragraphs>
  <TotalTime>9</TotalTime>
  <ScaleCrop>false</ScaleCrop>
  <LinksUpToDate>false</LinksUpToDate>
  <CharactersWithSpaces>1991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2017-02-06T14:25:00Z</dcterms:created>
  <dc:creator>CAA</dc:creator>
  <cp:lastModifiedBy>挨打要站稳</cp:lastModifiedBy>
  <cp:lastPrinted>2014-03-26T01:02:00Z</cp:lastPrinted>
  <dcterms:modified xsi:type="dcterms:W3CDTF">2019-02-11T12:13:19Z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