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00" w:lineRule="exact"/>
        <w:jc w:val="center"/>
        <w:outlineLvl w:val="3"/>
        <w:rPr>
          <w:rFonts w:ascii="宋体" w:hAnsi="宋体"/>
          <w:b/>
          <w:bCs/>
          <w:kern w:val="0"/>
          <w:sz w:val="28"/>
          <w:szCs w:val="28"/>
        </w:rPr>
      </w:pPr>
      <w:r>
        <w:rPr>
          <w:rStyle w:val="12"/>
          <w:rFonts w:hint="eastAsia"/>
        </w:rPr>
        <w:t>CAA</w:t>
      </w:r>
      <w:r>
        <w:rPr>
          <w:rStyle w:val="12"/>
        </w:rPr>
        <w:t>优秀博士学位论文评选条例</w:t>
      </w:r>
    </w:p>
    <w:p>
      <w:pPr>
        <w:topLinePunct/>
        <w:adjustRightInd w:val="0"/>
        <w:spacing w:line="400" w:lineRule="exact"/>
        <w:jc w:val="center"/>
        <w:rPr>
          <w:rFonts w:ascii="仿宋" w:hAnsi="仿宋" w:eastAsia="仿宋"/>
          <w:b/>
          <w:kern w:val="0"/>
          <w:sz w:val="24"/>
        </w:rPr>
      </w:pPr>
      <w:r>
        <w:rPr>
          <w:rFonts w:ascii="仿宋" w:hAnsi="仿宋" w:eastAsia="仿宋"/>
          <w:b/>
          <w:kern w:val="0"/>
          <w:sz w:val="24"/>
        </w:rPr>
        <w:t>第一章  总   则</w:t>
      </w:r>
    </w:p>
    <w:p>
      <w:pPr>
        <w:topLinePunct/>
        <w:adjustRightInd w:val="0"/>
        <w:spacing w:line="400" w:lineRule="exact"/>
        <w:ind w:firstLine="482" w:firstLineChars="200"/>
        <w:rPr>
          <w:rFonts w:ascii="仿宋" w:hAnsi="仿宋" w:eastAsia="仿宋"/>
          <w:sz w:val="24"/>
        </w:rPr>
      </w:pPr>
      <w:r>
        <w:rPr>
          <w:rFonts w:ascii="仿宋" w:hAnsi="仿宋" w:eastAsia="仿宋"/>
          <w:b/>
          <w:bCs/>
          <w:kern w:val="0"/>
          <w:sz w:val="24"/>
        </w:rPr>
        <w:t>第一条</w:t>
      </w:r>
      <w:r>
        <w:rPr>
          <w:rFonts w:ascii="仿宋" w:hAnsi="仿宋" w:eastAsia="仿宋"/>
          <w:kern w:val="0"/>
          <w:sz w:val="24"/>
        </w:rPr>
        <w:t xml:space="preserve"> 为推动中国自动化领域的科技进步，鼓励创新性研究，促进青年人才成长，特设立“CAA优秀博士学位论文奖”（以下简称“优秀博士论文奖”）。</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第二条</w:t>
      </w:r>
      <w:r>
        <w:rPr>
          <w:rFonts w:ascii="仿宋" w:hAnsi="仿宋" w:eastAsia="仿宋"/>
          <w:kern w:val="0"/>
          <w:sz w:val="24"/>
        </w:rPr>
        <w:t xml:space="preserve"> 本奖项每年评选一次，</w:t>
      </w:r>
      <w:r>
        <w:rPr>
          <w:rFonts w:hint="eastAsia" w:ascii="仿宋" w:hAnsi="仿宋" w:eastAsia="仿宋"/>
          <w:kern w:val="0"/>
          <w:sz w:val="24"/>
        </w:rPr>
        <w:t>每次</w:t>
      </w:r>
      <w:r>
        <w:rPr>
          <w:rFonts w:ascii="仿宋" w:hAnsi="仿宋" w:eastAsia="仿宋"/>
          <w:kern w:val="0"/>
          <w:sz w:val="24"/>
        </w:rPr>
        <w:t>不超过10篇，另有不超过5篇论文获提名奖。其中关键技术或应用技术创新方面的论文</w:t>
      </w:r>
      <w:r>
        <w:rPr>
          <w:rFonts w:hint="eastAsia" w:ascii="仿宋" w:hAnsi="仿宋" w:eastAsia="仿宋"/>
          <w:kern w:val="0"/>
          <w:sz w:val="24"/>
        </w:rPr>
        <w:t>需</w:t>
      </w:r>
      <w:r>
        <w:rPr>
          <w:rFonts w:ascii="仿宋" w:hAnsi="仿宋" w:eastAsia="仿宋"/>
          <w:kern w:val="0"/>
          <w:sz w:val="24"/>
        </w:rPr>
        <w:t>占一定比例。</w:t>
      </w:r>
    </w:p>
    <w:p>
      <w:pPr>
        <w:topLinePunct/>
        <w:adjustRightInd w:val="0"/>
        <w:spacing w:line="400" w:lineRule="exact"/>
        <w:jc w:val="center"/>
        <w:rPr>
          <w:rFonts w:ascii="仿宋" w:hAnsi="仿宋" w:eastAsia="仿宋"/>
          <w:kern w:val="0"/>
          <w:sz w:val="24"/>
        </w:rPr>
      </w:pPr>
      <w:r>
        <w:rPr>
          <w:rFonts w:ascii="仿宋" w:hAnsi="仿宋" w:eastAsia="仿宋"/>
          <w:b/>
          <w:bCs/>
          <w:kern w:val="0"/>
          <w:sz w:val="24"/>
        </w:rPr>
        <w:t>第二章  入选条件</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第三条</w:t>
      </w:r>
      <w:r>
        <w:rPr>
          <w:rFonts w:ascii="仿宋" w:hAnsi="仿宋" w:eastAsia="仿宋"/>
          <w:kern w:val="0"/>
          <w:sz w:val="24"/>
        </w:rPr>
        <w:t xml:space="preserve"> 参加CAA优秀博士论文奖评选应具备以下条件：</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1．论文作者在攻读博士学位期间，在自动化及其相关领域的基础理论或应用基础研究中取得重要成果，或在关键技术或应用技术创新等方面成果显著。</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2．作者在重要学术刊物或重要学术会议上发表过论文。</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3．作者在</w:t>
      </w:r>
      <w:r>
        <w:rPr>
          <w:rFonts w:hint="eastAsia" w:ascii="仿宋" w:hAnsi="仿宋" w:eastAsia="仿宋"/>
          <w:kern w:val="0"/>
          <w:sz w:val="24"/>
        </w:rPr>
        <w:t>过去</w:t>
      </w:r>
      <w:r>
        <w:rPr>
          <w:rFonts w:ascii="仿宋" w:hAnsi="仿宋" w:eastAsia="仿宋"/>
          <w:kern w:val="0"/>
          <w:sz w:val="24"/>
        </w:rPr>
        <w:t>两年内获得博士学位。</w:t>
      </w:r>
    </w:p>
    <w:p>
      <w:pPr>
        <w:topLinePunct/>
        <w:adjustRightInd w:val="0"/>
        <w:spacing w:line="400" w:lineRule="exact"/>
        <w:jc w:val="center"/>
        <w:rPr>
          <w:rFonts w:ascii="仿宋" w:hAnsi="仿宋" w:eastAsia="仿宋"/>
          <w:kern w:val="0"/>
          <w:sz w:val="24"/>
        </w:rPr>
      </w:pPr>
      <w:r>
        <w:rPr>
          <w:rFonts w:ascii="仿宋" w:hAnsi="仿宋" w:eastAsia="仿宋"/>
          <w:b/>
          <w:bCs/>
          <w:kern w:val="0"/>
          <w:sz w:val="24"/>
        </w:rPr>
        <w:t>第三章  推荐程序和要求</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第四条</w:t>
      </w:r>
      <w:r>
        <w:rPr>
          <w:rFonts w:hint="eastAsia" w:ascii="仿宋" w:hAnsi="仿宋" w:eastAsia="仿宋"/>
          <w:b/>
          <w:bCs/>
          <w:kern w:val="0"/>
          <w:sz w:val="24"/>
        </w:rPr>
        <w:t xml:space="preserve"> </w:t>
      </w:r>
      <w:r>
        <w:rPr>
          <w:rFonts w:ascii="仿宋" w:hAnsi="仿宋" w:eastAsia="仿宋"/>
          <w:kern w:val="0"/>
          <w:sz w:val="24"/>
        </w:rPr>
        <w:t>本奖项由具有自动化学科博士点的高校或研究机构推荐。</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第五条</w:t>
      </w:r>
      <w:r>
        <w:rPr>
          <w:rFonts w:ascii="仿宋" w:hAnsi="仿宋" w:eastAsia="仿宋"/>
          <w:kern w:val="0"/>
          <w:sz w:val="24"/>
        </w:rPr>
        <w:t>CAA接受各单位推荐的候选博士论文。每个一级学科博士点单位推荐参评学位论文不超过2篇，其他不具有一级学科博士点的单位，最多推荐1篇。</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第六条</w:t>
      </w:r>
      <w:r>
        <w:rPr>
          <w:rFonts w:ascii="仿宋" w:hAnsi="仿宋" w:eastAsia="仿宋"/>
          <w:kern w:val="0"/>
          <w:sz w:val="24"/>
        </w:rPr>
        <w:t xml:space="preserve"> 每篇学位论文需提交印刷论文</w:t>
      </w:r>
      <w:r>
        <w:rPr>
          <w:rFonts w:hint="eastAsia" w:ascii="仿宋" w:hAnsi="仿宋" w:eastAsia="仿宋"/>
          <w:kern w:val="0"/>
          <w:sz w:val="24"/>
          <w:lang w:val="en-US" w:eastAsia="zh-CN"/>
        </w:rPr>
        <w:t>5</w:t>
      </w:r>
      <w:r>
        <w:rPr>
          <w:rFonts w:ascii="仿宋" w:hAnsi="仿宋" w:eastAsia="仿宋"/>
          <w:kern w:val="0"/>
          <w:sz w:val="24"/>
        </w:rPr>
        <w:t>本，电子版论文1份，由作者所在单位负责人签字、单位盖章的推荐公函及其电子版。</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第七条</w:t>
      </w:r>
      <w:r>
        <w:rPr>
          <w:rFonts w:ascii="仿宋" w:hAnsi="仿宋" w:eastAsia="仿宋"/>
          <w:kern w:val="0"/>
          <w:sz w:val="24"/>
        </w:rPr>
        <w:t xml:space="preserve"> 每篇论文交纳评审费</w:t>
      </w:r>
      <w:r>
        <w:rPr>
          <w:rFonts w:hint="eastAsia" w:ascii="仿宋" w:hAnsi="仿宋" w:eastAsia="仿宋"/>
          <w:kern w:val="0"/>
          <w:sz w:val="24"/>
        </w:rPr>
        <w:t>2400</w:t>
      </w:r>
      <w:r>
        <w:rPr>
          <w:rFonts w:ascii="仿宋" w:hAnsi="仿宋" w:eastAsia="仿宋"/>
          <w:kern w:val="0"/>
          <w:sz w:val="24"/>
        </w:rPr>
        <w:t>元，CAA会员</w:t>
      </w:r>
      <w:r>
        <w:rPr>
          <w:rFonts w:hint="eastAsia" w:ascii="仿宋" w:hAnsi="仿宋" w:eastAsia="仿宋"/>
          <w:kern w:val="0"/>
          <w:sz w:val="24"/>
        </w:rPr>
        <w:t>2000</w:t>
      </w:r>
      <w:r>
        <w:rPr>
          <w:rFonts w:ascii="仿宋" w:hAnsi="仿宋" w:eastAsia="仿宋"/>
          <w:kern w:val="0"/>
          <w:sz w:val="24"/>
        </w:rPr>
        <w:t>元。此费用用于论文评审。</w:t>
      </w:r>
      <w:bookmarkStart w:id="0" w:name="_GoBack"/>
      <w:bookmarkEnd w:id="0"/>
    </w:p>
    <w:p>
      <w:pPr>
        <w:widowControl/>
        <w:adjustRightInd w:val="0"/>
        <w:snapToGrid w:val="0"/>
        <w:spacing w:line="400" w:lineRule="exact"/>
        <w:jc w:val="center"/>
        <w:rPr>
          <w:rFonts w:ascii="仿宋" w:hAnsi="仿宋" w:eastAsia="仿宋"/>
          <w:b/>
          <w:kern w:val="0"/>
          <w:sz w:val="24"/>
        </w:rPr>
      </w:pPr>
      <w:r>
        <w:rPr>
          <w:rFonts w:ascii="仿宋" w:hAnsi="仿宋" w:eastAsia="仿宋"/>
          <w:b/>
          <w:kern w:val="0"/>
          <w:sz w:val="24"/>
        </w:rPr>
        <w:t>第四章  评审程序</w:t>
      </w:r>
    </w:p>
    <w:p>
      <w:pPr>
        <w:widowControl/>
        <w:adjustRightInd w:val="0"/>
        <w:snapToGrid w:val="0"/>
        <w:spacing w:line="400" w:lineRule="exact"/>
        <w:ind w:firstLine="435"/>
        <w:jc w:val="left"/>
        <w:rPr>
          <w:rFonts w:ascii="仿宋" w:hAnsi="仿宋" w:eastAsia="仿宋"/>
          <w:kern w:val="0"/>
          <w:sz w:val="24"/>
        </w:rPr>
      </w:pPr>
      <w:r>
        <w:rPr>
          <w:rFonts w:ascii="仿宋" w:hAnsi="仿宋" w:eastAsia="仿宋"/>
          <w:b/>
          <w:bCs/>
          <w:kern w:val="0"/>
          <w:sz w:val="24"/>
        </w:rPr>
        <w:t xml:space="preserve">第八条 </w:t>
      </w:r>
      <w:r>
        <w:rPr>
          <w:rFonts w:ascii="仿宋" w:hAnsi="仿宋" w:eastAsia="仿宋"/>
          <w:kern w:val="0"/>
          <w:sz w:val="24"/>
        </w:rPr>
        <w:t>由</w:t>
      </w:r>
      <w:r>
        <w:rPr>
          <w:rFonts w:ascii="仿宋" w:hAnsi="仿宋" w:eastAsia="仿宋"/>
          <w:sz w:val="24"/>
        </w:rPr>
        <w:t>CAA</w:t>
      </w:r>
      <w:r>
        <w:rPr>
          <w:rFonts w:hint="eastAsia" w:ascii="仿宋" w:hAnsi="仿宋" w:eastAsia="仿宋"/>
          <w:sz w:val="24"/>
        </w:rPr>
        <w:t>奖励委员会授权，优秀博士论文评审委员会</w:t>
      </w:r>
      <w:r>
        <w:rPr>
          <w:rFonts w:ascii="仿宋" w:hAnsi="仿宋" w:eastAsia="仿宋"/>
          <w:sz w:val="24"/>
        </w:rPr>
        <w:t>负责组织</w:t>
      </w:r>
      <w:r>
        <w:rPr>
          <w:rFonts w:ascii="仿宋" w:hAnsi="仿宋" w:eastAsia="仿宋"/>
          <w:kern w:val="0"/>
          <w:sz w:val="24"/>
        </w:rPr>
        <w:t>“CAA优秀博士论文奖”的评审工作</w:t>
      </w:r>
      <w:r>
        <w:rPr>
          <w:rFonts w:hint="eastAsia" w:ascii="仿宋" w:hAnsi="仿宋" w:eastAsia="仿宋"/>
          <w:kern w:val="0"/>
          <w:sz w:val="24"/>
        </w:rPr>
        <w:t>。</w:t>
      </w:r>
    </w:p>
    <w:p>
      <w:pPr>
        <w:widowControl/>
        <w:adjustRightInd w:val="0"/>
        <w:snapToGrid w:val="0"/>
        <w:spacing w:line="400" w:lineRule="exact"/>
        <w:ind w:firstLine="435"/>
        <w:jc w:val="left"/>
        <w:rPr>
          <w:rFonts w:ascii="仿宋" w:hAnsi="仿宋" w:eastAsia="仿宋"/>
          <w:sz w:val="24"/>
        </w:rPr>
      </w:pPr>
      <w:r>
        <w:rPr>
          <w:rFonts w:ascii="仿宋" w:hAnsi="仿宋" w:eastAsia="仿宋"/>
          <w:b/>
          <w:bCs/>
          <w:kern w:val="0"/>
          <w:sz w:val="24"/>
        </w:rPr>
        <w:t xml:space="preserve">第九条 </w:t>
      </w:r>
      <w:r>
        <w:rPr>
          <w:rFonts w:ascii="仿宋" w:hAnsi="仿宋" w:eastAsia="仿宋"/>
          <w:sz w:val="24"/>
        </w:rPr>
        <w:t>评奖过程分格式审查、初评和终评三个阶段。</w:t>
      </w:r>
    </w:p>
    <w:p>
      <w:pPr>
        <w:pStyle w:val="9"/>
        <w:widowControl w:val="0"/>
        <w:adjustRightInd w:val="0"/>
        <w:snapToGrid w:val="0"/>
        <w:spacing w:before="0" w:beforeAutospacing="0" w:after="0" w:afterAutospacing="0" w:line="400" w:lineRule="exact"/>
        <w:ind w:firstLine="480"/>
        <w:jc w:val="both"/>
        <w:textAlignment w:val="baseline"/>
        <w:rPr>
          <w:rFonts w:ascii="仿宋" w:hAnsi="仿宋" w:eastAsia="仿宋" w:cs="Times New Roman"/>
        </w:rPr>
      </w:pPr>
      <w:r>
        <w:rPr>
          <w:rFonts w:ascii="仿宋" w:hAnsi="仿宋" w:eastAsia="仿宋" w:cs="Times New Roman"/>
        </w:rPr>
        <w:t xml:space="preserve">1. </w:t>
      </w:r>
      <w:r>
        <w:rPr>
          <w:rFonts w:hint="eastAsia" w:ascii="仿宋" w:hAnsi="仿宋" w:eastAsia="仿宋" w:cs="Times New Roman"/>
        </w:rPr>
        <w:t>形式</w:t>
      </w:r>
      <w:r>
        <w:rPr>
          <w:rFonts w:ascii="仿宋" w:hAnsi="仿宋" w:eastAsia="仿宋" w:cs="Times New Roman"/>
        </w:rPr>
        <w:t>审查：由CAA秘书处办公室对被推荐人进行论文格式和资质审查，通过该阶段审查的论文方可进入初评阶段。</w:t>
      </w:r>
    </w:p>
    <w:p>
      <w:pPr>
        <w:pStyle w:val="9"/>
        <w:widowControl w:val="0"/>
        <w:adjustRightInd w:val="0"/>
        <w:snapToGrid w:val="0"/>
        <w:spacing w:before="0" w:beforeAutospacing="0" w:after="0" w:afterAutospacing="0" w:line="400" w:lineRule="exact"/>
        <w:ind w:firstLine="480"/>
        <w:jc w:val="both"/>
        <w:textAlignment w:val="baseline"/>
        <w:rPr>
          <w:rFonts w:ascii="仿宋" w:hAnsi="仿宋" w:eastAsia="仿宋" w:cs="Times New Roman"/>
        </w:rPr>
      </w:pPr>
      <w:r>
        <w:rPr>
          <w:rFonts w:ascii="仿宋" w:hAnsi="仿宋" w:eastAsia="仿宋" w:cs="Times New Roman"/>
        </w:rPr>
        <w:t>2. 初评：初评采用同行专家函评的方法。CAA奖励委员会确定同行评审专家名单，由这些专家进行初评。每篇博士学位论文交由五名同行专家评议，根据同行专家评议情况，确定入围候选优秀论文。候选优秀论文数不超过</w:t>
      </w:r>
      <w:r>
        <w:rPr>
          <w:rFonts w:hint="eastAsia" w:ascii="仿宋" w:hAnsi="仿宋" w:eastAsia="仿宋" w:cs="Times New Roman"/>
        </w:rPr>
        <w:t>2</w:t>
      </w:r>
      <w:r>
        <w:rPr>
          <w:rFonts w:ascii="仿宋" w:hAnsi="仿宋" w:eastAsia="仿宋" w:cs="Times New Roman"/>
        </w:rPr>
        <w:t>0篇。</w:t>
      </w:r>
    </w:p>
    <w:p>
      <w:pPr>
        <w:pStyle w:val="9"/>
        <w:widowControl w:val="0"/>
        <w:adjustRightInd w:val="0"/>
        <w:snapToGrid w:val="0"/>
        <w:spacing w:before="0" w:beforeAutospacing="0" w:after="0" w:afterAutospacing="0" w:line="400" w:lineRule="exact"/>
        <w:ind w:firstLine="480"/>
        <w:jc w:val="both"/>
        <w:textAlignment w:val="baseline"/>
        <w:rPr>
          <w:rFonts w:ascii="仿宋" w:hAnsi="仿宋" w:eastAsia="仿宋" w:cs="Times New Roman"/>
        </w:rPr>
      </w:pPr>
      <w:r>
        <w:rPr>
          <w:rFonts w:ascii="仿宋" w:hAnsi="仿宋" w:eastAsia="仿宋" w:cs="Times New Roman"/>
        </w:rPr>
        <w:t>3.终评：CAA奖励委员会根据同行专家评议情况对入围候选优秀论文进行评议，由参加表决的评审委员三分之二以上（含三分之二）采用投票方式表决确定获奖论文，并在中国自动化学会网站上予以公示，公示期为</w:t>
      </w:r>
      <w:r>
        <w:rPr>
          <w:rFonts w:hint="eastAsia" w:ascii="仿宋" w:hAnsi="仿宋" w:eastAsia="仿宋" w:cs="Times New Roman"/>
        </w:rPr>
        <w:t>7个工作日</w:t>
      </w:r>
      <w:r>
        <w:rPr>
          <w:rFonts w:ascii="仿宋" w:hAnsi="仿宋" w:eastAsia="仿宋" w:cs="Times New Roman"/>
        </w:rPr>
        <w:t>。</w:t>
      </w:r>
    </w:p>
    <w:p>
      <w:pPr>
        <w:topLinePunct/>
        <w:adjustRightInd w:val="0"/>
        <w:spacing w:line="400" w:lineRule="exact"/>
        <w:jc w:val="center"/>
        <w:rPr>
          <w:rFonts w:ascii="仿宋" w:hAnsi="仿宋" w:eastAsia="仿宋"/>
          <w:kern w:val="0"/>
          <w:sz w:val="24"/>
        </w:rPr>
      </w:pPr>
      <w:r>
        <w:rPr>
          <w:rFonts w:ascii="仿宋" w:hAnsi="仿宋" w:eastAsia="仿宋"/>
          <w:b/>
          <w:bCs/>
          <w:kern w:val="0"/>
          <w:sz w:val="24"/>
        </w:rPr>
        <w:t>第五章  评奖约束及惩罚条款</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第十条</w:t>
      </w:r>
      <w:r>
        <w:rPr>
          <w:rFonts w:ascii="仿宋" w:hAnsi="仿宋" w:eastAsia="仿宋"/>
          <w:kern w:val="0"/>
          <w:sz w:val="24"/>
        </w:rPr>
        <w:t xml:space="preserve"> 评奖委员会成员、评审专家以及与评奖有关的工作人员须遵守如下规则：</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1．不得接受被参评论文作者的钱物和其他任何形式的赠与；</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2．按本条例第十二条之规定回避；</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3．其他应遵守的职业操守。</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违反本条规则者，CAA将视情形给予警告或取消参与评奖资格的处罚，且三年（含）内不得再次担任评委。</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第十一条</w:t>
      </w:r>
      <w:r>
        <w:rPr>
          <w:rFonts w:ascii="仿宋" w:hAnsi="仿宋" w:eastAsia="仿宋"/>
          <w:kern w:val="0"/>
          <w:sz w:val="24"/>
        </w:rPr>
        <w:t xml:space="preserve"> 申请参评的人士和推荐者应遵守如下规则：</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1．不得向评奖委员会或有关人员赠与或以变相形式赠与钱物；</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2．不得向评奖委员会或有关人员说情或委托他人说情；</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3．评奖结果公布前，不向评奖委员会或评奖工作人员打听评奖消息。</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违反本条规则者，CAA将视情形给予警告或取消申请者参评资格的处罚；如推荐单位违反本条规定，则三年（含）内不得再次推荐。</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第十二条</w:t>
      </w:r>
      <w:r>
        <w:rPr>
          <w:rFonts w:ascii="仿宋" w:hAnsi="仿宋" w:eastAsia="仿宋"/>
          <w:kern w:val="0"/>
          <w:sz w:val="24"/>
        </w:rPr>
        <w:t xml:space="preserve"> 有如下情形，评奖委员会成员应当回避：</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1．终评时，CAA奖励委员会成员的学生或其所在单位的学生的论文参评；</w:t>
      </w:r>
    </w:p>
    <w:p>
      <w:pPr>
        <w:topLinePunct/>
        <w:adjustRightInd w:val="0"/>
        <w:spacing w:line="400" w:lineRule="exact"/>
        <w:ind w:firstLine="480" w:firstLineChars="200"/>
        <w:rPr>
          <w:rFonts w:ascii="仿宋" w:hAnsi="仿宋" w:eastAsia="仿宋"/>
          <w:kern w:val="0"/>
          <w:sz w:val="24"/>
        </w:rPr>
      </w:pPr>
      <w:r>
        <w:rPr>
          <w:rFonts w:ascii="仿宋" w:hAnsi="仿宋" w:eastAsia="仿宋"/>
          <w:kern w:val="0"/>
          <w:sz w:val="24"/>
        </w:rPr>
        <w:t>2．CAA奖励委员会成员与已入围论文作者有亲戚关系以及其他可能被认为有碍公正评奖的关系。</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 xml:space="preserve">第十三条 </w:t>
      </w:r>
      <w:r>
        <w:rPr>
          <w:rFonts w:ascii="仿宋" w:hAnsi="仿宋" w:eastAsia="仿宋"/>
          <w:kern w:val="0"/>
          <w:sz w:val="24"/>
        </w:rPr>
        <w:t>对于上述情形的处罚结果，由CAA予以公布。</w:t>
      </w:r>
    </w:p>
    <w:p>
      <w:pPr>
        <w:topLinePunct/>
        <w:adjustRightInd w:val="0"/>
        <w:spacing w:line="400" w:lineRule="exact"/>
        <w:jc w:val="center"/>
        <w:rPr>
          <w:rFonts w:ascii="仿宋" w:hAnsi="仿宋" w:eastAsia="仿宋"/>
          <w:kern w:val="0"/>
          <w:sz w:val="24"/>
        </w:rPr>
      </w:pPr>
      <w:r>
        <w:rPr>
          <w:rFonts w:ascii="仿宋" w:hAnsi="仿宋" w:eastAsia="仿宋"/>
          <w:b/>
          <w:bCs/>
          <w:kern w:val="0"/>
          <w:sz w:val="24"/>
        </w:rPr>
        <w:t>第六章  奖励方式</w:t>
      </w:r>
    </w:p>
    <w:p>
      <w:pPr>
        <w:spacing w:line="400" w:lineRule="exact"/>
        <w:ind w:firstLine="482" w:firstLineChars="200"/>
        <w:rPr>
          <w:rFonts w:ascii="仿宋" w:hAnsi="仿宋" w:eastAsia="仿宋"/>
          <w:kern w:val="0"/>
          <w:sz w:val="24"/>
        </w:rPr>
      </w:pPr>
      <w:r>
        <w:rPr>
          <w:rFonts w:ascii="仿宋" w:hAnsi="仿宋" w:eastAsia="仿宋"/>
          <w:b/>
          <w:bCs/>
          <w:kern w:val="0"/>
          <w:sz w:val="24"/>
        </w:rPr>
        <w:t xml:space="preserve">第十四条 </w:t>
      </w:r>
      <w:r>
        <w:rPr>
          <w:rFonts w:ascii="仿宋" w:hAnsi="仿宋" w:eastAsia="仿宋"/>
          <w:kern w:val="0"/>
          <w:sz w:val="24"/>
        </w:rPr>
        <w:t>CAA</w:t>
      </w:r>
      <w:r>
        <w:rPr>
          <w:rFonts w:hint="eastAsia" w:ascii="仿宋" w:hAnsi="仿宋" w:eastAsia="仿宋"/>
          <w:kern w:val="0"/>
          <w:sz w:val="24"/>
        </w:rPr>
        <w:t>在网站上</w:t>
      </w:r>
      <w:r>
        <w:rPr>
          <w:rFonts w:ascii="仿宋" w:hAnsi="仿宋" w:eastAsia="仿宋"/>
          <w:kern w:val="0"/>
          <w:sz w:val="24"/>
        </w:rPr>
        <w:t>公布“中国自动化学会优秀博士学位论文奖”获奖</w:t>
      </w:r>
      <w:r>
        <w:rPr>
          <w:rFonts w:hint="eastAsia" w:ascii="仿宋" w:hAnsi="仿宋" w:eastAsia="仿宋"/>
          <w:kern w:val="0"/>
          <w:sz w:val="24"/>
        </w:rPr>
        <w:t>名单</w:t>
      </w:r>
      <w:r>
        <w:rPr>
          <w:rFonts w:ascii="仿宋" w:hAnsi="仿宋" w:eastAsia="仿宋"/>
          <w:kern w:val="0"/>
          <w:sz w:val="24"/>
        </w:rPr>
        <w:t>。</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第十五条</w:t>
      </w:r>
      <w:r>
        <w:rPr>
          <w:rFonts w:ascii="仿宋" w:hAnsi="仿宋" w:eastAsia="仿宋"/>
          <w:kern w:val="0"/>
          <w:sz w:val="24"/>
        </w:rPr>
        <w:t xml:space="preserve"> CAA对获奖的论文作者颁发获奖证书</w:t>
      </w:r>
      <w:r>
        <w:rPr>
          <w:rFonts w:hint="eastAsia" w:ascii="仿宋" w:hAnsi="仿宋" w:eastAsia="仿宋"/>
          <w:kern w:val="0"/>
          <w:sz w:val="24"/>
        </w:rPr>
        <w:t>及奖杯</w:t>
      </w:r>
      <w:r>
        <w:rPr>
          <w:rFonts w:ascii="仿宋" w:hAnsi="仿宋" w:eastAsia="仿宋"/>
          <w:kern w:val="0"/>
          <w:sz w:val="24"/>
        </w:rPr>
        <w:t>，向获奖论文作者的导师颁发</w:t>
      </w:r>
      <w:r>
        <w:rPr>
          <w:rFonts w:hint="eastAsia" w:ascii="仿宋" w:hAnsi="仿宋" w:eastAsia="仿宋"/>
          <w:kern w:val="0"/>
          <w:sz w:val="24"/>
        </w:rPr>
        <w:t>“中国自动化学会优秀</w:t>
      </w:r>
      <w:r>
        <w:rPr>
          <w:rFonts w:ascii="仿宋" w:hAnsi="仿宋" w:eastAsia="仿宋"/>
          <w:kern w:val="0"/>
          <w:sz w:val="24"/>
        </w:rPr>
        <w:t>博士</w:t>
      </w:r>
      <w:r>
        <w:rPr>
          <w:rFonts w:hint="eastAsia" w:ascii="仿宋" w:hAnsi="仿宋" w:eastAsia="仿宋"/>
          <w:kern w:val="0"/>
          <w:sz w:val="24"/>
        </w:rPr>
        <w:t>生导师”</w:t>
      </w:r>
      <w:r>
        <w:rPr>
          <w:rFonts w:ascii="仿宋" w:hAnsi="仿宋" w:eastAsia="仿宋"/>
          <w:kern w:val="0"/>
          <w:sz w:val="24"/>
        </w:rPr>
        <w:t>证书。获奖证书由CAA理事长签署。</w:t>
      </w:r>
    </w:p>
    <w:p>
      <w:pPr>
        <w:topLinePunct/>
        <w:adjustRightInd w:val="0"/>
        <w:spacing w:line="400" w:lineRule="exact"/>
        <w:jc w:val="center"/>
        <w:rPr>
          <w:rFonts w:ascii="仿宋" w:hAnsi="仿宋" w:eastAsia="仿宋"/>
          <w:kern w:val="0"/>
          <w:sz w:val="24"/>
        </w:rPr>
      </w:pPr>
      <w:r>
        <w:rPr>
          <w:rFonts w:ascii="仿宋" w:hAnsi="仿宋" w:eastAsia="仿宋"/>
          <w:b/>
          <w:bCs/>
          <w:kern w:val="0"/>
          <w:sz w:val="24"/>
        </w:rPr>
        <w:t>第八章  附 则</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第十六条</w:t>
      </w:r>
      <w:r>
        <w:rPr>
          <w:rFonts w:ascii="仿宋" w:hAnsi="仿宋" w:eastAsia="仿宋"/>
          <w:kern w:val="0"/>
          <w:sz w:val="24"/>
        </w:rPr>
        <w:t xml:space="preserve"> 在评议过程中，若发现被评论文有作者抄袭、剽窃等学术道德问题时，CAA奖励委员会有权取消该论文的参评资格；若在颁奖之后发现上述问题，CAA将取消其获奖资格，收回证书，并予公布。</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第十七条</w:t>
      </w:r>
      <w:r>
        <w:rPr>
          <w:rFonts w:ascii="仿宋" w:hAnsi="仿宋" w:eastAsia="仿宋"/>
          <w:kern w:val="0"/>
          <w:sz w:val="24"/>
        </w:rPr>
        <w:t xml:space="preserve"> 本条例由CAA常务理事会通过后生效。</w:t>
      </w:r>
    </w:p>
    <w:p>
      <w:pPr>
        <w:topLinePunct/>
        <w:adjustRightInd w:val="0"/>
        <w:spacing w:line="400" w:lineRule="exact"/>
        <w:ind w:firstLine="482" w:firstLineChars="200"/>
        <w:rPr>
          <w:rFonts w:ascii="仿宋" w:hAnsi="仿宋" w:eastAsia="仿宋"/>
          <w:kern w:val="0"/>
          <w:sz w:val="24"/>
        </w:rPr>
      </w:pPr>
      <w:r>
        <w:rPr>
          <w:rFonts w:ascii="仿宋" w:hAnsi="仿宋" w:eastAsia="仿宋"/>
          <w:b/>
          <w:bCs/>
          <w:kern w:val="0"/>
          <w:sz w:val="24"/>
        </w:rPr>
        <w:t>第十八条</w:t>
      </w:r>
      <w:r>
        <w:rPr>
          <w:rFonts w:ascii="仿宋" w:hAnsi="仿宋" w:eastAsia="仿宋"/>
          <w:kern w:val="0"/>
          <w:sz w:val="24"/>
        </w:rPr>
        <w:t xml:space="preserve"> 本条例由CAA常务理事会负责解释。</w:t>
      </w:r>
    </w:p>
    <w:p>
      <w:pPr>
        <w:spacing w:line="400" w:lineRule="exact"/>
        <w:jc w:val="right"/>
        <w:rPr>
          <w:rFonts w:ascii="仿宋" w:hAnsi="仿宋" w:eastAsia="仿宋"/>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025F"/>
    <w:rsid w:val="00011710"/>
    <w:rsid w:val="0003408F"/>
    <w:rsid w:val="00042B70"/>
    <w:rsid w:val="000456DC"/>
    <w:rsid w:val="00116457"/>
    <w:rsid w:val="00201DF2"/>
    <w:rsid w:val="002F6306"/>
    <w:rsid w:val="00384CFB"/>
    <w:rsid w:val="00396DD5"/>
    <w:rsid w:val="003B5C6E"/>
    <w:rsid w:val="0048049B"/>
    <w:rsid w:val="00483D8E"/>
    <w:rsid w:val="004A275E"/>
    <w:rsid w:val="005F635B"/>
    <w:rsid w:val="00636EAF"/>
    <w:rsid w:val="006B41BE"/>
    <w:rsid w:val="006B7ED7"/>
    <w:rsid w:val="00783961"/>
    <w:rsid w:val="007D1C86"/>
    <w:rsid w:val="007D4820"/>
    <w:rsid w:val="008071CC"/>
    <w:rsid w:val="008165F9"/>
    <w:rsid w:val="0084709C"/>
    <w:rsid w:val="008C69CF"/>
    <w:rsid w:val="009453F2"/>
    <w:rsid w:val="00961F22"/>
    <w:rsid w:val="00977612"/>
    <w:rsid w:val="0098336A"/>
    <w:rsid w:val="00987400"/>
    <w:rsid w:val="009C4E16"/>
    <w:rsid w:val="009D49F2"/>
    <w:rsid w:val="009D59C2"/>
    <w:rsid w:val="009E4132"/>
    <w:rsid w:val="00BE5C16"/>
    <w:rsid w:val="00BF02B3"/>
    <w:rsid w:val="00C35680"/>
    <w:rsid w:val="00CB7613"/>
    <w:rsid w:val="00D8260F"/>
    <w:rsid w:val="00E42BF9"/>
    <w:rsid w:val="00E602D5"/>
    <w:rsid w:val="00EC025F"/>
    <w:rsid w:val="00FC31CC"/>
    <w:rsid w:val="11B46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3"/>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paragraph" w:customStyle="1" w:styleId="8">
    <w:name w:val="p17"/>
    <w:basedOn w:val="1"/>
    <w:qFormat/>
    <w:uiPriority w:val="0"/>
    <w:pPr>
      <w:widowControl/>
      <w:spacing w:before="100" w:beforeAutospacing="1" w:after="100" w:afterAutospacing="1"/>
      <w:jc w:val="left"/>
    </w:pPr>
    <w:rPr>
      <w:rFonts w:ascii="宋体" w:hAnsi="宋体" w:cs="宋体"/>
      <w:kern w:val="0"/>
      <w:sz w:val="24"/>
    </w:rPr>
  </w:style>
  <w:style w:type="paragraph" w:customStyle="1" w:styleId="9">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0">
    <w:name w:val="页眉 Char"/>
    <w:basedOn w:val="5"/>
    <w:link w:val="4"/>
    <w:semiHidden/>
    <w:qFormat/>
    <w:uiPriority w:val="99"/>
    <w:rPr>
      <w:rFonts w:ascii="Times New Roman" w:hAnsi="Times New Roman" w:eastAsia="宋体" w:cs="Times New Roman"/>
      <w:sz w:val="18"/>
      <w:szCs w:val="18"/>
    </w:rPr>
  </w:style>
  <w:style w:type="character" w:customStyle="1" w:styleId="11">
    <w:name w:val="页脚 Char"/>
    <w:basedOn w:val="5"/>
    <w:link w:val="3"/>
    <w:semiHidden/>
    <w:uiPriority w:val="99"/>
    <w:rPr>
      <w:rFonts w:ascii="Times New Roman" w:hAnsi="Times New Roman" w:eastAsia="宋体" w:cs="Times New Roman"/>
      <w:sz w:val="18"/>
      <w:szCs w:val="18"/>
    </w:rPr>
  </w:style>
  <w:style w:type="character" w:customStyle="1" w:styleId="12">
    <w:name w:val="xwbt1"/>
    <w:basedOn w:val="5"/>
    <w:qFormat/>
    <w:uiPriority w:val="0"/>
    <w:rPr>
      <w:b/>
      <w:bCs/>
      <w:sz w:val="37"/>
      <w:szCs w:val="37"/>
    </w:rPr>
  </w:style>
  <w:style w:type="character" w:customStyle="1" w:styleId="13">
    <w:name w:val="批注框文本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56BE5E-E581-4F2F-808B-39EB5808B251}">
  <ds:schemaRefs/>
</ds:datastoreItem>
</file>

<file path=docProps/app.xml><?xml version="1.0" encoding="utf-8"?>
<Properties xmlns="http://schemas.openxmlformats.org/officeDocument/2006/extended-properties" xmlns:vt="http://schemas.openxmlformats.org/officeDocument/2006/docPropsVTypes">
  <Template>Normal</Template>
  <Pages>2</Pages>
  <Words>239</Words>
  <Characters>1363</Characters>
  <Lines>11</Lines>
  <Paragraphs>3</Paragraphs>
  <TotalTime>0</TotalTime>
  <ScaleCrop>false</ScaleCrop>
  <LinksUpToDate>false</LinksUpToDate>
  <CharactersWithSpaces>1599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2013-01-08T00:34:00Z</dcterms:created>
  <dc:creator>CAA</dc:creator>
  <cp:lastModifiedBy>挨打要站稳</cp:lastModifiedBy>
  <cp:lastPrinted>2014-03-26T01:02:00Z</cp:lastPrinted>
  <dcterms:modified xsi:type="dcterms:W3CDTF">2018-01-30T00:58:10Z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