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26" w:rsidRPr="007B4126" w:rsidRDefault="007B4126" w:rsidP="007B4126">
      <w:pPr>
        <w:widowControl/>
        <w:snapToGrid w:val="0"/>
        <w:spacing w:line="560" w:lineRule="atLeast"/>
        <w:jc w:val="center"/>
        <w:rPr>
          <w:rFonts w:ascii="宋体" w:eastAsia="宋体" w:hAnsi="宋体" w:cs="宋体"/>
          <w:color w:val="585858"/>
          <w:kern w:val="0"/>
          <w:sz w:val="20"/>
          <w:szCs w:val="20"/>
        </w:rPr>
      </w:pPr>
      <w:r w:rsidRPr="007B4126">
        <w:rPr>
          <w:rFonts w:ascii="宋体" w:eastAsia="宋体" w:hAnsi="宋体" w:cs="宋体" w:hint="eastAsia"/>
          <w:b/>
          <w:bCs/>
          <w:color w:val="585858"/>
          <w:kern w:val="0"/>
          <w:sz w:val="36"/>
          <w:szCs w:val="36"/>
        </w:rPr>
        <w:t>杨嘉墀科技奖评奖办法</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0"/>
          <w:szCs w:val="20"/>
        </w:rPr>
        <w:t> </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第一条</w:t>
      </w:r>
      <w:r w:rsidRPr="007B4126">
        <w:rPr>
          <w:rFonts w:ascii="宋体" w:eastAsia="宋体" w:hAnsi="宋体" w:cs="宋体" w:hint="eastAsia"/>
          <w:color w:val="585858"/>
          <w:kern w:val="0"/>
          <w:sz w:val="28"/>
          <w:szCs w:val="28"/>
        </w:rPr>
        <w:t xml:space="preserve">　为规范杨嘉墀科技奖评选活动，根据《杨嘉墀科技奖管理委员会工作条例》制定本办法。 </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第二条</w:t>
      </w:r>
      <w:r w:rsidRPr="007B4126">
        <w:rPr>
          <w:rFonts w:ascii="宋体" w:eastAsia="宋体" w:hAnsi="宋体" w:cs="宋体" w:hint="eastAsia"/>
          <w:color w:val="585858"/>
          <w:kern w:val="0"/>
          <w:sz w:val="28"/>
          <w:szCs w:val="28"/>
        </w:rPr>
        <w:t xml:space="preserve"> 本奖项每两年评选一次，特殊情况下经杨嘉墀科技奖管理委员会同意可以提前或延后评选。</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第三条</w:t>
      </w:r>
      <w:r w:rsidRPr="007B4126">
        <w:rPr>
          <w:rFonts w:ascii="宋体" w:eastAsia="宋体" w:hAnsi="宋体" w:cs="宋体" w:hint="eastAsia"/>
          <w:color w:val="585858"/>
          <w:kern w:val="0"/>
          <w:sz w:val="28"/>
          <w:szCs w:val="28"/>
        </w:rPr>
        <w:t xml:space="preserve"> 评选活动实行公开、公平、公正的原则。</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第四条</w:t>
      </w:r>
      <w:r w:rsidRPr="007B4126">
        <w:rPr>
          <w:rFonts w:ascii="宋体" w:eastAsia="宋体" w:hAnsi="宋体" w:cs="宋体" w:hint="eastAsia"/>
          <w:color w:val="585858"/>
          <w:kern w:val="0"/>
          <w:sz w:val="28"/>
          <w:szCs w:val="28"/>
        </w:rPr>
        <w:t xml:space="preserve"> 奖励对象是：在自动化、航天控制科学技术及管理领域取得突出成绩，做出重大贡献的中国籍科技工作者，不对单位和项目集体。</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第五条 </w:t>
      </w:r>
      <w:r w:rsidRPr="007B4126">
        <w:rPr>
          <w:rFonts w:ascii="宋体" w:eastAsia="宋体" w:hAnsi="宋体" w:cs="宋体" w:hint="eastAsia"/>
          <w:color w:val="585858"/>
          <w:kern w:val="0"/>
          <w:sz w:val="28"/>
          <w:szCs w:val="28"/>
        </w:rPr>
        <w:t xml:space="preserve">其申请的奖励的成果应具备如下条件之一： </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 xml:space="preserve">一、自动化或航天控制基础研究或应用基础研究并得到国内外同行公认的重大理论突破或做出原创性的研究成果； </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 xml:space="preserve">二、自动化或航天控制重大的技术发明或技术突破； </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三、自动化或航天控制重大工程方面的重要成果；</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四、自动化或航天控制领域的技术创新、技术集成方面的重要成果，有很好的应用前景和市场前景，或有显著的社会效益。</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第六条 </w:t>
      </w:r>
      <w:r w:rsidRPr="007B4126">
        <w:rPr>
          <w:rFonts w:ascii="宋体" w:eastAsia="宋体" w:hAnsi="宋体" w:cs="宋体" w:hint="eastAsia"/>
          <w:color w:val="585858"/>
          <w:kern w:val="0"/>
          <w:sz w:val="28"/>
          <w:szCs w:val="28"/>
        </w:rPr>
        <w:t>本奖项设一等奖和二等奖。一等奖不超过2个，二等奖若干，总奖项不超过5个。</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第七条 </w:t>
      </w:r>
      <w:r w:rsidRPr="007B4126">
        <w:rPr>
          <w:rFonts w:ascii="宋体" w:eastAsia="宋体" w:hAnsi="宋体" w:cs="宋体" w:hint="eastAsia"/>
          <w:color w:val="585858"/>
          <w:kern w:val="0"/>
          <w:sz w:val="28"/>
          <w:szCs w:val="28"/>
        </w:rPr>
        <w:t xml:space="preserve">本奖项实行个人联名推荐及单位推荐制，不受理本人申请。满足如下条件之一的为有效推荐： </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一、个人联名推荐：</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1.中国科学院或中国工程院1位院士推荐；</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2.中国自动化学会或中国宇航学会2位会士联名推荐；</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lastRenderedPageBreak/>
        <w:t>3.中国自动化学会或中国宇航学会3位常务理事或5位理事联名推荐。</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二、单位推荐：</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1.中国自动化学会或中国宇航学会的分支机构推荐；</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2.中国自动化学会或中国宇航学会的理事单位推荐；</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3.省级自动化学会或省级宇航学会推荐。</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第八条 </w:t>
      </w:r>
      <w:r w:rsidRPr="007B4126">
        <w:rPr>
          <w:rFonts w:ascii="宋体" w:eastAsia="宋体" w:hAnsi="宋体" w:cs="宋体" w:hint="eastAsia"/>
          <w:color w:val="585858"/>
          <w:kern w:val="0"/>
          <w:sz w:val="28"/>
          <w:szCs w:val="28"/>
        </w:rPr>
        <w:t>本奖项设立“杨嘉墀科技奖评奖委员会”，负责奖项的评选工作。评奖委员会由8-14人组成，人选由杨嘉墀科技奖管理委员会讨论通过后聘请。每届任期3年。</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第九条 </w:t>
      </w:r>
      <w:r w:rsidRPr="007B4126">
        <w:rPr>
          <w:rFonts w:ascii="宋体" w:eastAsia="宋体" w:hAnsi="宋体" w:cs="宋体" w:hint="eastAsia"/>
          <w:color w:val="585858"/>
          <w:kern w:val="0"/>
          <w:sz w:val="28"/>
          <w:szCs w:val="28"/>
        </w:rPr>
        <w:t xml:space="preserve">本奖项评选分资格审查、初评和终评三个阶段： </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一、资格审查。由杨嘉墀科技奖办公室对原始推荐材料进行资格审查。如不合格，由推荐人在规定的期限内修改并重新提交；</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 xml:space="preserve">二、初评。由杨嘉墀科技奖评奖委员会对推荐名单进行初评，选出不超过20名候选人进入终评； </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三、终评。由杨嘉墀科技奖评奖委员会对入围的候选人进行终评，投票产生最终得奖人名单。</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推荐人有义务和责任对评委在评审过程中提出的关于成果的科技意义、社会效益、经济效益等问题进行解释。</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第十条 </w:t>
      </w:r>
      <w:r w:rsidRPr="007B4126">
        <w:rPr>
          <w:rFonts w:ascii="宋体" w:eastAsia="宋体" w:hAnsi="宋体" w:cs="宋体" w:hint="eastAsia"/>
          <w:color w:val="585858"/>
          <w:kern w:val="0"/>
          <w:sz w:val="28"/>
          <w:szCs w:val="28"/>
        </w:rPr>
        <w:t>杨嘉墀科技奖评奖的推荐、初评、公示、投诉和受理、终评、公布的时间表定为5月至9月份，择期举行颁奖典礼，发布评奖结果。评奖时间可根据实际情况进行调整。</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第十一条 </w:t>
      </w:r>
      <w:r w:rsidRPr="007B4126">
        <w:rPr>
          <w:rFonts w:ascii="宋体" w:eastAsia="宋体" w:hAnsi="宋体" w:cs="宋体" w:hint="eastAsia"/>
          <w:color w:val="585858"/>
          <w:kern w:val="0"/>
          <w:sz w:val="28"/>
          <w:szCs w:val="28"/>
        </w:rPr>
        <w:t xml:space="preserve">评奖委员会成员必须承认并遵守评奖规则，保证评选结果的公正性。 </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一、</w:t>
      </w:r>
      <w:r w:rsidRPr="007B4126">
        <w:rPr>
          <w:rFonts w:ascii="宋体" w:eastAsia="宋体" w:hAnsi="宋体" w:cs="宋体" w:hint="eastAsia"/>
          <w:color w:val="585858"/>
          <w:kern w:val="0"/>
          <w:sz w:val="28"/>
          <w:szCs w:val="28"/>
        </w:rPr>
        <w:t xml:space="preserve">不得接受被推荐人的钱物和其他任何形式的赠与； </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lastRenderedPageBreak/>
        <w:t>二、</w:t>
      </w:r>
      <w:r w:rsidRPr="007B4126">
        <w:rPr>
          <w:rFonts w:ascii="宋体" w:eastAsia="宋体" w:hAnsi="宋体" w:cs="宋体" w:hint="eastAsia"/>
          <w:color w:val="585858"/>
          <w:kern w:val="0"/>
          <w:sz w:val="28"/>
          <w:szCs w:val="28"/>
        </w:rPr>
        <w:t xml:space="preserve">在评选结果正式公布之前，不得向被评奖人透露有关评奖的过程、结果或其他有关信息； </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三、评奖委员会成员不得参与杨嘉墀科技奖候选人的推荐活动；</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 xml:space="preserve">四、其他应遵守的职业操守。 </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第十二条 </w:t>
      </w:r>
      <w:r w:rsidRPr="007B4126">
        <w:rPr>
          <w:rFonts w:ascii="宋体" w:eastAsia="宋体" w:hAnsi="宋体" w:cs="宋体" w:hint="eastAsia"/>
          <w:color w:val="585858"/>
          <w:kern w:val="0"/>
          <w:sz w:val="28"/>
          <w:szCs w:val="28"/>
        </w:rPr>
        <w:t>被推荐人或候选人应遵守如下规则：</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一、不向评奖委员会或有关人员赠与或以变相形式赠与钱物；</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 xml:space="preserve">二、不向评奖委员会成员或评奖工作人员说情或委托他人说情； </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三、</w:t>
      </w:r>
      <w:r w:rsidRPr="007B4126">
        <w:rPr>
          <w:rFonts w:ascii="宋体" w:eastAsia="宋体" w:hAnsi="宋体" w:cs="宋体" w:hint="eastAsia"/>
          <w:color w:val="585858"/>
          <w:kern w:val="0"/>
          <w:sz w:val="28"/>
          <w:szCs w:val="28"/>
        </w:rPr>
        <w:t>所申报的评奖材料不得有虚假、夸大等不实信息。</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第十三条 </w:t>
      </w:r>
      <w:r w:rsidRPr="007B4126">
        <w:rPr>
          <w:rFonts w:ascii="宋体" w:eastAsia="宋体" w:hAnsi="宋体" w:cs="宋体" w:hint="eastAsia"/>
          <w:color w:val="585858"/>
          <w:kern w:val="0"/>
          <w:sz w:val="28"/>
          <w:szCs w:val="28"/>
        </w:rPr>
        <w:t>评奖委员会成员有如下情形的，应当回避：</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一、评奖委员会成员被推荐参评并入围终评，则该评委须放弃当届评委资格；如在初评中没选入候选人，则该评委可继续担任评委资格。</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二、终评委员会成员与已入围的候选人有同一科研项目组关系、亲戚关系以及有碍公正评奖的其他关系者，则该评委在评奖前须声明，并不能参加对相关候选人的评选。</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第十四条 </w:t>
      </w:r>
      <w:r w:rsidRPr="007B4126">
        <w:rPr>
          <w:rFonts w:ascii="宋体" w:eastAsia="宋体" w:hAnsi="宋体" w:cs="宋体" w:hint="eastAsia"/>
          <w:color w:val="585858"/>
          <w:kern w:val="0"/>
          <w:sz w:val="28"/>
          <w:szCs w:val="28"/>
        </w:rPr>
        <w:t>罚则</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如评委有违反</w:t>
      </w:r>
      <w:r w:rsidRPr="007B4126">
        <w:rPr>
          <w:rFonts w:ascii="宋体" w:eastAsia="宋体" w:hAnsi="宋体" w:cs="宋体" w:hint="eastAsia"/>
          <w:b/>
          <w:bCs/>
          <w:color w:val="585858"/>
          <w:kern w:val="0"/>
          <w:sz w:val="28"/>
          <w:szCs w:val="28"/>
        </w:rPr>
        <w:t>第十一条</w:t>
      </w:r>
      <w:r w:rsidRPr="007B4126">
        <w:rPr>
          <w:rFonts w:ascii="宋体" w:eastAsia="宋体" w:hAnsi="宋体" w:cs="宋体" w:hint="eastAsia"/>
          <w:color w:val="585858"/>
          <w:kern w:val="0"/>
          <w:sz w:val="28"/>
          <w:szCs w:val="28"/>
        </w:rPr>
        <w:t>中所列条款之一的行为，由杨嘉墀科技奖管理委员会决定取消当事人评委的资格，并在学会内予以通报，今后不得进入评奖委员会。</w:t>
      </w:r>
    </w:p>
    <w:p w:rsidR="007B4126" w:rsidRPr="007B4126" w:rsidRDefault="007B4126" w:rsidP="007B4126">
      <w:pPr>
        <w:widowControl/>
        <w:snapToGrid w:val="0"/>
        <w:spacing w:line="560" w:lineRule="atLeast"/>
        <w:ind w:firstLine="560"/>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8"/>
          <w:szCs w:val="28"/>
        </w:rPr>
        <w:t>如被评候选人有违背</w:t>
      </w:r>
      <w:r w:rsidRPr="007B4126">
        <w:rPr>
          <w:rFonts w:ascii="宋体" w:eastAsia="宋体" w:hAnsi="宋体" w:cs="宋体" w:hint="eastAsia"/>
          <w:b/>
          <w:bCs/>
          <w:color w:val="585858"/>
          <w:kern w:val="0"/>
          <w:sz w:val="28"/>
          <w:szCs w:val="28"/>
        </w:rPr>
        <w:t>第十二条</w:t>
      </w:r>
      <w:r w:rsidRPr="007B4126">
        <w:rPr>
          <w:rFonts w:ascii="宋体" w:eastAsia="宋体" w:hAnsi="宋体" w:cs="宋体" w:hint="eastAsia"/>
          <w:color w:val="585858"/>
          <w:kern w:val="0"/>
          <w:sz w:val="28"/>
          <w:szCs w:val="28"/>
        </w:rPr>
        <w:t>中所列条款的行为，取消评奖资格，且当事人未来二年内不得参加本奖项的评奖。</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第十五条 </w:t>
      </w:r>
      <w:r w:rsidRPr="007B4126">
        <w:rPr>
          <w:rFonts w:ascii="宋体" w:eastAsia="宋体" w:hAnsi="宋体" w:cs="宋体" w:hint="eastAsia"/>
          <w:color w:val="585858"/>
          <w:kern w:val="0"/>
          <w:sz w:val="28"/>
          <w:szCs w:val="28"/>
        </w:rPr>
        <w:t>中国自动化学会和中国宇航学会联合向获奖人颁发奖励证书和奖金。奖励证书由两学会理事长签署。</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lastRenderedPageBreak/>
        <w:t xml:space="preserve">第十六条 </w:t>
      </w:r>
      <w:r w:rsidRPr="007B4126">
        <w:rPr>
          <w:rFonts w:ascii="宋体" w:eastAsia="宋体" w:hAnsi="宋体" w:cs="宋体" w:hint="eastAsia"/>
          <w:color w:val="585858"/>
          <w:kern w:val="0"/>
          <w:sz w:val="28"/>
          <w:szCs w:val="28"/>
        </w:rPr>
        <w:t>本奖项不收取参加评奖和获奖者任何费用，但获奖者到颁奖地点领奖所发生的费用由获奖者或其所在单位承担。</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第十七条 </w:t>
      </w:r>
      <w:r w:rsidRPr="007B4126">
        <w:rPr>
          <w:rFonts w:ascii="宋体" w:eastAsia="宋体" w:hAnsi="宋体" w:cs="宋体" w:hint="eastAsia"/>
          <w:color w:val="585858"/>
          <w:kern w:val="0"/>
          <w:sz w:val="28"/>
          <w:szCs w:val="28"/>
        </w:rPr>
        <w:t>如在评议过程中发现被评奖材料有虚假内容时，评奖委员会有权取其消评奖资格，并对外公布。</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第十八条 </w:t>
      </w:r>
      <w:r w:rsidRPr="007B4126">
        <w:rPr>
          <w:rFonts w:ascii="宋体" w:eastAsia="宋体" w:hAnsi="宋体" w:cs="宋体" w:hint="eastAsia"/>
          <w:color w:val="585858"/>
          <w:kern w:val="0"/>
          <w:sz w:val="28"/>
          <w:szCs w:val="28"/>
        </w:rPr>
        <w:t>如在获奖后发现被评奖材料有虚假内容时，本奖项有权收回其奖金、证书，并对外公布。</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第十九条 </w:t>
      </w:r>
      <w:r w:rsidRPr="007B4126">
        <w:rPr>
          <w:rFonts w:ascii="宋体" w:eastAsia="宋体" w:hAnsi="宋体" w:cs="宋体" w:hint="eastAsia"/>
          <w:color w:val="585858"/>
          <w:kern w:val="0"/>
          <w:sz w:val="28"/>
          <w:szCs w:val="28"/>
        </w:rPr>
        <w:t>本条例的附件《杨嘉墀科技奖推荐表》，是本条例的组成部分。</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第二十条 </w:t>
      </w:r>
      <w:r w:rsidRPr="007B4126">
        <w:rPr>
          <w:rFonts w:ascii="宋体" w:eastAsia="宋体" w:hAnsi="宋体" w:cs="宋体" w:hint="eastAsia"/>
          <w:color w:val="585858"/>
          <w:kern w:val="0"/>
          <w:sz w:val="28"/>
          <w:szCs w:val="28"/>
        </w:rPr>
        <w:t xml:space="preserve">本条例由杨嘉墀科技奖管理委员会通过后生效。 </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b/>
          <w:bCs/>
          <w:color w:val="585858"/>
          <w:kern w:val="0"/>
          <w:sz w:val="28"/>
          <w:szCs w:val="28"/>
        </w:rPr>
        <w:t xml:space="preserve">第二十一条 </w:t>
      </w:r>
      <w:r w:rsidRPr="007B4126">
        <w:rPr>
          <w:rFonts w:ascii="宋体" w:eastAsia="宋体" w:hAnsi="宋体" w:cs="宋体" w:hint="eastAsia"/>
          <w:color w:val="585858"/>
          <w:kern w:val="0"/>
          <w:sz w:val="28"/>
          <w:szCs w:val="28"/>
        </w:rPr>
        <w:t>本条例由杨嘉墀科技奖管理委员会负责解释。</w:t>
      </w:r>
    </w:p>
    <w:p w:rsidR="007B4126" w:rsidRPr="007B4126" w:rsidRDefault="007B4126" w:rsidP="007B4126">
      <w:pPr>
        <w:widowControl/>
        <w:snapToGrid w:val="0"/>
        <w:spacing w:line="560" w:lineRule="atLeast"/>
        <w:ind w:firstLine="562"/>
        <w:jc w:val="left"/>
        <w:rPr>
          <w:rFonts w:ascii="宋体" w:eastAsia="宋体" w:hAnsi="宋体" w:cs="宋体"/>
          <w:color w:val="585858"/>
          <w:kern w:val="0"/>
          <w:sz w:val="20"/>
          <w:szCs w:val="20"/>
        </w:rPr>
      </w:pPr>
      <w:r w:rsidRPr="007B4126">
        <w:rPr>
          <w:rFonts w:ascii="宋体" w:eastAsia="宋体" w:hAnsi="宋体" w:cs="宋体" w:hint="eastAsia"/>
          <w:color w:val="585858"/>
          <w:kern w:val="0"/>
          <w:sz w:val="20"/>
          <w:szCs w:val="20"/>
        </w:rPr>
        <w:t> </w:t>
      </w:r>
    </w:p>
    <w:p w:rsidR="007B4126" w:rsidRPr="007B4126" w:rsidRDefault="007B4126" w:rsidP="007B4126">
      <w:pPr>
        <w:widowControl/>
        <w:snapToGrid w:val="0"/>
        <w:spacing w:line="560" w:lineRule="atLeast"/>
        <w:ind w:firstLine="3240"/>
        <w:jc w:val="center"/>
        <w:rPr>
          <w:rFonts w:ascii="宋体" w:eastAsia="宋体" w:hAnsi="宋体" w:cs="宋体"/>
          <w:color w:val="585858"/>
          <w:kern w:val="0"/>
          <w:sz w:val="28"/>
          <w:szCs w:val="28"/>
        </w:rPr>
      </w:pPr>
      <w:r w:rsidRPr="007B4126">
        <w:rPr>
          <w:rFonts w:ascii="宋体" w:eastAsia="宋体" w:hAnsi="宋体" w:cs="宋体" w:hint="eastAsia"/>
          <w:color w:val="585858"/>
          <w:kern w:val="0"/>
          <w:sz w:val="28"/>
          <w:szCs w:val="28"/>
        </w:rPr>
        <w:t>杨嘉墀科技奖管理委员会</w:t>
      </w:r>
    </w:p>
    <w:p w:rsidR="007B4126" w:rsidRPr="007B4126" w:rsidRDefault="007B4126" w:rsidP="007B4126">
      <w:pPr>
        <w:widowControl/>
        <w:snapToGrid w:val="0"/>
        <w:spacing w:line="560" w:lineRule="atLeast"/>
        <w:ind w:firstLine="3240"/>
        <w:jc w:val="center"/>
        <w:rPr>
          <w:rFonts w:ascii="宋体" w:eastAsia="宋体" w:hAnsi="宋体" w:cs="宋体"/>
          <w:color w:val="585858"/>
          <w:kern w:val="0"/>
          <w:sz w:val="28"/>
          <w:szCs w:val="28"/>
        </w:rPr>
      </w:pPr>
      <w:r w:rsidRPr="007B4126">
        <w:rPr>
          <w:rFonts w:ascii="宋体" w:eastAsia="宋体" w:hAnsi="宋体" w:cs="宋体" w:hint="eastAsia"/>
          <w:color w:val="585858"/>
          <w:kern w:val="0"/>
          <w:sz w:val="28"/>
          <w:szCs w:val="28"/>
        </w:rPr>
        <w:t> </w:t>
      </w:r>
    </w:p>
    <w:p w:rsidR="007B4126" w:rsidRPr="007B4126" w:rsidRDefault="007B4126" w:rsidP="007B4126">
      <w:pPr>
        <w:widowControl/>
        <w:snapToGrid w:val="0"/>
        <w:spacing w:line="560" w:lineRule="atLeast"/>
        <w:ind w:firstLine="3240"/>
        <w:jc w:val="center"/>
        <w:rPr>
          <w:rFonts w:ascii="宋体" w:eastAsia="宋体" w:hAnsi="宋体" w:cs="宋体"/>
          <w:color w:val="585858"/>
          <w:kern w:val="0"/>
          <w:sz w:val="28"/>
          <w:szCs w:val="28"/>
        </w:rPr>
      </w:pPr>
      <w:r w:rsidRPr="007B4126">
        <w:rPr>
          <w:rFonts w:ascii="宋体" w:eastAsia="宋体" w:hAnsi="宋体" w:cs="宋体" w:hint="eastAsia"/>
          <w:color w:val="585858"/>
          <w:kern w:val="0"/>
          <w:sz w:val="28"/>
          <w:szCs w:val="28"/>
        </w:rPr>
        <w:t>二〇〇九年 十一月十八日</w:t>
      </w:r>
    </w:p>
    <w:p w:rsidR="00F95050" w:rsidRDefault="00F95050"/>
    <w:sectPr w:rsidR="00F95050" w:rsidSect="00EF3B3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DB6" w:rsidRDefault="00462DB6" w:rsidP="007B4126">
      <w:r>
        <w:separator/>
      </w:r>
    </w:p>
  </w:endnote>
  <w:endnote w:type="continuationSeparator" w:id="1">
    <w:p w:rsidR="00462DB6" w:rsidRDefault="00462DB6" w:rsidP="007B41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89" w:rsidRDefault="00820B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89" w:rsidRDefault="00820B8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89" w:rsidRDefault="00820B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DB6" w:rsidRDefault="00462DB6" w:rsidP="007B4126">
      <w:r>
        <w:separator/>
      </w:r>
    </w:p>
  </w:footnote>
  <w:footnote w:type="continuationSeparator" w:id="1">
    <w:p w:rsidR="00462DB6" w:rsidRDefault="00462DB6" w:rsidP="007B4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89" w:rsidRDefault="00820B8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6" w:rsidRDefault="007B4126" w:rsidP="00820B8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89" w:rsidRDefault="00820B8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126"/>
    <w:rsid w:val="00462DB6"/>
    <w:rsid w:val="007B4126"/>
    <w:rsid w:val="00820B89"/>
    <w:rsid w:val="00EF3B33"/>
    <w:rsid w:val="00F95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4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4126"/>
    <w:rPr>
      <w:sz w:val="18"/>
      <w:szCs w:val="18"/>
    </w:rPr>
  </w:style>
  <w:style w:type="paragraph" w:styleId="a4">
    <w:name w:val="footer"/>
    <w:basedOn w:val="a"/>
    <w:link w:val="Char0"/>
    <w:uiPriority w:val="99"/>
    <w:semiHidden/>
    <w:unhideWhenUsed/>
    <w:rsid w:val="007B41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4126"/>
    <w:rPr>
      <w:sz w:val="18"/>
      <w:szCs w:val="18"/>
    </w:rPr>
  </w:style>
</w:styles>
</file>

<file path=word/webSettings.xml><?xml version="1.0" encoding="utf-8"?>
<w:webSettings xmlns:r="http://schemas.openxmlformats.org/officeDocument/2006/relationships" xmlns:w="http://schemas.openxmlformats.org/wordprocessingml/2006/main">
  <w:divs>
    <w:div w:id="1165173347">
      <w:bodyDiv w:val="1"/>
      <w:marLeft w:val="0"/>
      <w:marRight w:val="0"/>
      <w:marTop w:val="0"/>
      <w:marBottom w:val="0"/>
      <w:divBdr>
        <w:top w:val="none" w:sz="0" w:space="0" w:color="auto"/>
        <w:left w:val="none" w:sz="0" w:space="0" w:color="auto"/>
        <w:bottom w:val="none" w:sz="0" w:space="0" w:color="auto"/>
        <w:right w:val="none" w:sz="0" w:space="0" w:color="auto"/>
      </w:divBdr>
      <w:divsChild>
        <w:div w:id="1671299681">
          <w:marLeft w:val="0"/>
          <w:marRight w:val="0"/>
          <w:marTop w:val="0"/>
          <w:marBottom w:val="167"/>
          <w:divBdr>
            <w:top w:val="none" w:sz="0" w:space="0" w:color="auto"/>
            <w:left w:val="none" w:sz="0" w:space="0" w:color="auto"/>
            <w:bottom w:val="none" w:sz="0" w:space="0" w:color="auto"/>
            <w:right w:val="none" w:sz="0" w:space="0" w:color="auto"/>
          </w:divBdr>
          <w:divsChild>
            <w:div w:id="302542191">
              <w:marLeft w:val="167"/>
              <w:marRight w:val="0"/>
              <w:marTop w:val="0"/>
              <w:marBottom w:val="0"/>
              <w:divBdr>
                <w:top w:val="none" w:sz="0" w:space="0" w:color="auto"/>
                <w:left w:val="none" w:sz="0" w:space="0" w:color="auto"/>
                <w:bottom w:val="none" w:sz="0" w:space="0" w:color="auto"/>
                <w:right w:val="none" w:sz="0" w:space="0" w:color="auto"/>
              </w:divBdr>
              <w:divsChild>
                <w:div w:id="773791583">
                  <w:marLeft w:val="0"/>
                  <w:marRight w:val="0"/>
                  <w:marTop w:val="0"/>
                  <w:marBottom w:val="0"/>
                  <w:divBdr>
                    <w:top w:val="none" w:sz="0" w:space="0" w:color="auto"/>
                    <w:left w:val="none" w:sz="0" w:space="0" w:color="auto"/>
                    <w:bottom w:val="none" w:sz="0" w:space="0" w:color="auto"/>
                    <w:right w:val="none" w:sz="0" w:space="0" w:color="auto"/>
                  </w:divBdr>
                  <w:divsChild>
                    <w:div w:id="2061204189">
                      <w:marLeft w:val="0"/>
                      <w:marRight w:val="0"/>
                      <w:marTop w:val="0"/>
                      <w:marBottom w:val="0"/>
                      <w:divBdr>
                        <w:top w:val="none" w:sz="0" w:space="0" w:color="auto"/>
                        <w:left w:val="single" w:sz="6" w:space="8" w:color="B8D7F3"/>
                        <w:bottom w:val="single" w:sz="6" w:space="8" w:color="B8D7F3"/>
                        <w:right w:val="single" w:sz="6" w:space="8" w:color="B8D7F3"/>
                      </w:divBdr>
                      <w:divsChild>
                        <w:div w:id="134103068">
                          <w:marLeft w:val="0"/>
                          <w:marRight w:val="0"/>
                          <w:marTop w:val="0"/>
                          <w:marBottom w:val="0"/>
                          <w:divBdr>
                            <w:top w:val="none" w:sz="0" w:space="0" w:color="auto"/>
                            <w:left w:val="none" w:sz="0" w:space="0" w:color="auto"/>
                            <w:bottom w:val="none" w:sz="0" w:space="0" w:color="auto"/>
                            <w:right w:val="none" w:sz="0" w:space="0" w:color="auto"/>
                          </w:divBdr>
                          <w:divsChild>
                            <w:div w:id="709573439">
                              <w:marLeft w:val="0"/>
                              <w:marRight w:val="0"/>
                              <w:marTop w:val="0"/>
                              <w:marBottom w:val="0"/>
                              <w:divBdr>
                                <w:top w:val="none" w:sz="0" w:space="0" w:color="auto"/>
                                <w:left w:val="none" w:sz="0" w:space="0" w:color="auto"/>
                                <w:bottom w:val="none" w:sz="0" w:space="0" w:color="auto"/>
                                <w:right w:val="none" w:sz="0" w:space="0" w:color="auto"/>
                              </w:divBdr>
                              <w:divsChild>
                                <w:div w:id="1437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Words>
  <Characters>1582</Characters>
  <Application>Microsoft Office Word</Application>
  <DocSecurity>0</DocSecurity>
  <Lines>13</Lines>
  <Paragraphs>3</Paragraphs>
  <ScaleCrop>false</ScaleCrop>
  <Company>微软中国</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2012-09-10T06:16:00Z</dcterms:created>
  <dcterms:modified xsi:type="dcterms:W3CDTF">2012-11-28T01:08:00Z</dcterms:modified>
</cp:coreProperties>
</file>