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6E" w:rsidRDefault="00EA11B3">
      <w:pPr>
        <w:topLinePunct/>
        <w:adjustRightInd w:val="0"/>
        <w:spacing w:beforeLines="100" w:before="312" w:afterLines="50" w:after="156" w:line="360" w:lineRule="auto"/>
        <w:jc w:val="center"/>
        <w:rPr>
          <w:rStyle w:val="xwbt1"/>
          <w:rFonts w:ascii="小标宋" w:eastAsia="小标宋" w:hAnsi="小标宋" w:cs="小标宋"/>
          <w:b w:val="0"/>
          <w:bCs w:val="0"/>
          <w:sz w:val="40"/>
          <w:szCs w:val="40"/>
        </w:rPr>
      </w:pPr>
      <w:r w:rsidRPr="00EA11B3">
        <w:rPr>
          <w:rStyle w:val="xwbt1"/>
          <w:rFonts w:ascii="小标宋" w:eastAsia="小标宋" w:hAnsi="小标宋" w:cs="小标宋" w:hint="eastAsia"/>
          <w:b w:val="0"/>
          <w:bCs w:val="0"/>
          <w:sz w:val="40"/>
          <w:szCs w:val="40"/>
        </w:rPr>
        <w:t>CAA研究生论文工程</w:t>
      </w:r>
      <w:r w:rsidR="00515E6E" w:rsidRPr="00515E6E">
        <w:rPr>
          <w:rStyle w:val="xwbt1"/>
          <w:rFonts w:ascii="小标宋" w:eastAsia="小标宋" w:hAnsi="小标宋" w:cs="小标宋" w:hint="eastAsia"/>
          <w:b w:val="0"/>
          <w:bCs w:val="0"/>
          <w:sz w:val="40"/>
          <w:szCs w:val="40"/>
        </w:rPr>
        <w:t>-硕士论文评选条例</w:t>
      </w:r>
    </w:p>
    <w:p w:rsidR="005903B4" w:rsidRDefault="00B929A8">
      <w:pPr>
        <w:topLinePunct/>
        <w:adjustRightInd w:val="0"/>
        <w:spacing w:beforeLines="100" w:before="312" w:afterLines="50" w:after="156" w:line="360" w:lineRule="auto"/>
        <w:jc w:val="center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/>
          <w:kern w:val="0"/>
          <w:sz w:val="32"/>
          <w:szCs w:val="32"/>
        </w:rPr>
        <w:t>第一章 总则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第一条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为贯彻落实国家创新驱动发展战略，优化创新人才培养环境，充分发挥学会在发现人才、举荐人才和培养人才方面的优势地位和独特作用，推动自动化、信息与智能科学领域的技术进步与创新，中国自动化学会决定开展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CAA研究生论文工程</w:t>
      </w:r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 w:rsidR="00D36B8A">
        <w:rPr>
          <w:rFonts w:ascii="仿宋_GB2312" w:eastAsia="仿宋_GB2312" w:hAnsi="仿宋" w:cs="Tahoma" w:hint="eastAsia"/>
          <w:kern w:val="0"/>
          <w:sz w:val="32"/>
          <w:szCs w:val="32"/>
        </w:rPr>
        <w:t>推荐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工作。为规范评选程序，特制定本办法。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第二条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CAA研究生论文工程</w:t>
      </w:r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的推荐工作每年进行一次，每次评选1</w:t>
      </w:r>
      <w:r>
        <w:rPr>
          <w:rFonts w:ascii="仿宋_GB2312" w:eastAsia="仿宋_GB2312" w:hAnsi="仿宋" w:cs="Tahoma"/>
          <w:kern w:val="0"/>
          <w:sz w:val="32"/>
          <w:szCs w:val="32"/>
        </w:rPr>
        <w:t>0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至3</w:t>
      </w:r>
      <w:r>
        <w:rPr>
          <w:rFonts w:ascii="仿宋_GB2312" w:eastAsia="仿宋_GB2312" w:hAnsi="仿宋" w:cs="Tahoma"/>
          <w:kern w:val="0"/>
          <w:sz w:val="32"/>
          <w:szCs w:val="32"/>
        </w:rPr>
        <w:t>0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篇优秀硕士学位论文且入选篇数不超过当年参评总数的30%。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第三条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中国自动化学会依照“个人申请、单位推荐、专家民主评审、择优遴选”的原则开展评审工作。</w:t>
      </w:r>
    </w:p>
    <w:p w:rsidR="005903B4" w:rsidRDefault="00B929A8">
      <w:pPr>
        <w:topLinePunct/>
        <w:adjustRightInd w:val="0"/>
        <w:spacing w:beforeLines="50" w:before="156" w:afterLines="50" w:after="156" w:line="56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第二章 参评条件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第四条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论文作者需是中国自动化学会会员。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b/>
          <w:bCs/>
          <w:kern w:val="0"/>
          <w:sz w:val="32"/>
          <w:szCs w:val="32"/>
        </w:rPr>
        <w:t>第五条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参加评选的硕士学位论文需是已获准授予学位的论文，学位授予时间至申请当年的6月3</w:t>
      </w:r>
      <w:r>
        <w:rPr>
          <w:rFonts w:ascii="仿宋_GB2312" w:eastAsia="仿宋_GB2312" w:hAnsi="仿宋" w:cs="Tahoma"/>
          <w:kern w:val="0"/>
          <w:sz w:val="32"/>
          <w:szCs w:val="32"/>
        </w:rPr>
        <w:t>0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日且不超过两年。</w:t>
      </w:r>
    </w:p>
    <w:p w:rsidR="005903B4" w:rsidRDefault="00B929A8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kern w:val="0"/>
          <w:sz w:val="32"/>
          <w:szCs w:val="32"/>
        </w:rPr>
        <w:t xml:space="preserve">第六条 </w:t>
      </w:r>
      <w:r>
        <w:rPr>
          <w:rFonts w:ascii="仿宋_GB2312" w:eastAsia="仿宋_GB2312" w:hAnsi="仿宋" w:hint="eastAsia"/>
          <w:kern w:val="0"/>
          <w:sz w:val="32"/>
          <w:szCs w:val="32"/>
        </w:rPr>
        <w:t>论文内容需与</w:t>
      </w:r>
      <w:r>
        <w:rPr>
          <w:rFonts w:ascii="仿宋_GB2312" w:eastAsia="仿宋_GB2312" w:hAnsi="仿宋" w:hint="eastAsia"/>
          <w:sz w:val="32"/>
          <w:szCs w:val="32"/>
        </w:rPr>
        <w:t>自动化、信息或智能科学领域的学科前沿或关键技术紧密相关：理论方法研究需有明确的创新性和较大的科学价值；工程技术研究需有明确的突破点和良好的应用价值。</w:t>
      </w:r>
    </w:p>
    <w:p w:rsidR="005903B4" w:rsidRDefault="00B929A8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  <w:highlight w:val="yellow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第七条</w:t>
      </w:r>
      <w:r>
        <w:rPr>
          <w:rFonts w:ascii="仿宋_GB2312" w:eastAsia="仿宋_GB2312" w:hAnsi="仿宋" w:hint="eastAsia"/>
          <w:sz w:val="32"/>
          <w:szCs w:val="32"/>
        </w:rPr>
        <w:t xml:space="preserve"> 论文价值可以论文附属成果作为佐证，论文的附属成果（文章、专著、专利和获奖等）需与论文内容密切相关，且需是申请当年6月3</w:t>
      </w:r>
      <w:r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日之前已发表或已录用的文章、已出版的专著、已受理的专利（成果）、已获得的奖项。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 xml:space="preserve">第八条 </w:t>
      </w:r>
      <w:r>
        <w:rPr>
          <w:rFonts w:ascii="仿宋_GB2312" w:eastAsia="仿宋_GB2312" w:hAnsi="仿宋" w:hint="eastAsia"/>
          <w:sz w:val="32"/>
          <w:szCs w:val="32"/>
        </w:rPr>
        <w:t>参评硕士论文及附属材料需真实完整，内容不涉密，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可在互联网上公开评审和展示。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hAnsi="仿宋" w:cs="Tahoma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 xml:space="preserve">第九条 </w:t>
      </w:r>
      <w:r>
        <w:rPr>
          <w:rFonts w:ascii="仿宋_GB2312" w:eastAsia="仿宋_GB2312" w:hAnsi="仿宋" w:hint="eastAsia"/>
          <w:kern w:val="0"/>
          <w:sz w:val="32"/>
          <w:szCs w:val="32"/>
        </w:rPr>
        <w:t>参评的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硕士学位论文需通过具有</w:t>
      </w:r>
      <w:r>
        <w:rPr>
          <w:rFonts w:ascii="仿宋_GB2312" w:eastAsia="仿宋_GB2312" w:hAnsi="仿宋" w:hint="eastAsia"/>
          <w:sz w:val="32"/>
          <w:szCs w:val="32"/>
        </w:rPr>
        <w:t>硕士学位授权点的高等院校或研究机构（含</w:t>
      </w:r>
      <w:bookmarkStart w:id="0" w:name="_Hlk101520750"/>
      <w:r>
        <w:rPr>
          <w:rFonts w:ascii="仿宋_GB2312" w:eastAsia="仿宋_GB2312" w:hAnsi="仿宋" w:hint="eastAsia"/>
          <w:sz w:val="32"/>
          <w:szCs w:val="32"/>
        </w:rPr>
        <w:t>港、澳、台地区</w:t>
      </w:r>
      <w:bookmarkEnd w:id="0"/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kern w:val="0"/>
          <w:sz w:val="32"/>
          <w:szCs w:val="32"/>
        </w:rPr>
        <w:t>推荐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第十条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每个</w:t>
      </w:r>
      <w:bookmarkStart w:id="1" w:name="_Hlk101521630"/>
      <w:r>
        <w:rPr>
          <w:rFonts w:ascii="仿宋_GB2312" w:eastAsia="仿宋_GB2312" w:hAnsi="仿宋" w:hint="eastAsia"/>
          <w:sz w:val="32"/>
          <w:szCs w:val="32"/>
        </w:rPr>
        <w:t>一级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自动化相关</w:t>
      </w:r>
      <w:r>
        <w:rPr>
          <w:rFonts w:ascii="仿宋_GB2312" w:eastAsia="仿宋_GB2312" w:hAnsi="仿宋" w:hint="eastAsia"/>
          <w:sz w:val="32"/>
          <w:szCs w:val="32"/>
        </w:rPr>
        <w:t>学科硕士学位授权点每年最多推荐2篇参评硕士学位论文</w:t>
      </w:r>
      <w:bookmarkEnd w:id="1"/>
      <w:r>
        <w:rPr>
          <w:rFonts w:ascii="仿宋_GB2312" w:eastAsia="仿宋_GB2312" w:hAnsi="仿宋" w:hint="eastAsia"/>
          <w:sz w:val="32"/>
          <w:szCs w:val="32"/>
        </w:rPr>
        <w:t>，非一级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自动化相关</w:t>
      </w:r>
      <w:r>
        <w:rPr>
          <w:rFonts w:ascii="仿宋_GB2312" w:eastAsia="仿宋_GB2312" w:hAnsi="仿宋" w:hint="eastAsia"/>
          <w:sz w:val="32"/>
          <w:szCs w:val="32"/>
        </w:rPr>
        <w:t>学科硕士学位授权点每年最多推荐1篇参评硕士学位论文。</w:t>
      </w:r>
    </w:p>
    <w:p w:rsidR="005903B4" w:rsidRDefault="00B929A8">
      <w:pPr>
        <w:topLinePunct/>
        <w:adjustRightInd w:val="0"/>
        <w:spacing w:beforeLines="50" w:before="156" w:afterLines="50" w:after="156" w:line="56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第三章  评审程序</w:t>
      </w:r>
    </w:p>
    <w:p w:rsidR="005903B4" w:rsidRDefault="00B929A8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第十一条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中国自动化学会按照相关规定设立专家评审委员会，对参选论文进行科学规范评审。</w:t>
      </w:r>
    </w:p>
    <w:p w:rsidR="005903B4" w:rsidRDefault="00B929A8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第十二条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评选过程包括形式审查、函评、终评和公示四个阶段：</w:t>
      </w:r>
    </w:p>
    <w:p w:rsidR="005903B4" w:rsidRDefault="00B929A8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Tahoma"/>
          <w:kern w:val="0"/>
          <w:sz w:val="32"/>
          <w:szCs w:val="32"/>
        </w:rPr>
        <w:t>.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形式审查：依据第三章各条款对论文作者和推荐单位的资质、被推荐论文及附属材料的完整性、真实性和保密性等进行审查，通过审查的参评论文方可纳入函评程序。</w:t>
      </w:r>
    </w:p>
    <w:p w:rsidR="005903B4" w:rsidRDefault="00B929A8">
      <w:pPr>
        <w:topLinePunct/>
        <w:adjustRightInd w:val="0"/>
        <w:spacing w:line="560" w:lineRule="exact"/>
        <w:ind w:firstLine="640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kern w:val="0"/>
          <w:sz w:val="32"/>
          <w:szCs w:val="32"/>
        </w:rPr>
        <w:t>2.函评：对纳入函评程序的参选论文按申报学科或研究领域进行分组，每组论文由同行专家进行评审。学会办公室综合专家评议结果，按比例择优确定候选优秀硕士学位论文。</w:t>
      </w:r>
    </w:p>
    <w:p w:rsidR="005903B4" w:rsidRDefault="00B929A8">
      <w:pPr>
        <w:topLinePunct/>
        <w:adjustRightInd w:val="0"/>
        <w:spacing w:line="560" w:lineRule="exact"/>
        <w:ind w:firstLineChars="200" w:firstLine="640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kern w:val="0"/>
          <w:sz w:val="32"/>
          <w:szCs w:val="32"/>
        </w:rPr>
        <w:t>3.终评：专家评审委员会对候选论文进行评审和投票表决，获不少于三分之二票数的候选论文暂被确定为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CAA研究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lastRenderedPageBreak/>
        <w:t>生论文工程</w:t>
      </w:r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。</w:t>
      </w:r>
    </w:p>
    <w:p w:rsidR="005903B4" w:rsidRDefault="00B929A8">
      <w:pPr>
        <w:widowControl/>
        <w:spacing w:line="560" w:lineRule="exact"/>
        <w:ind w:firstLineChars="200" w:firstLine="640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kern w:val="0"/>
          <w:sz w:val="32"/>
          <w:szCs w:val="32"/>
        </w:rPr>
        <w:t>4.公示：会议确定的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CAA研究生论文工程</w:t>
      </w:r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与论文作者在中国自动化学会网站上公示。任何个人或单位若发现入选论文存在抄袭、剽窃、弄虚作假或主要研究结论不能成立等严重学术问题，可在入选论文名单公布之日起的5日内，以书面或电子邮件的方式向中国自动化学会提出异议。异议材料包括论文题目、作者姓名、异议内容，相关证据和科学依据，以及异议人的真实姓名和联系方式等。不符合上述要求的异议不予受理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第十三条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公示结束7日内，中国自动化学会需公布当选的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CAA研究生论文工程</w:t>
      </w:r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名单。公示结束2</w:t>
      </w:r>
      <w:r>
        <w:rPr>
          <w:rFonts w:ascii="仿宋_GB2312" w:eastAsia="仿宋_GB2312" w:hAnsi="仿宋" w:cs="Tahoma"/>
          <w:kern w:val="0"/>
          <w:sz w:val="32"/>
          <w:szCs w:val="32"/>
        </w:rPr>
        <w:t>0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日内异议事项仍未处理完毕的论文不列入当年的</w:t>
      </w:r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研究生论文</w:t>
      </w:r>
      <w:bookmarkStart w:id="2" w:name="_GoBack"/>
      <w:r w:rsidR="00EA11B3" w:rsidRPr="00EA11B3">
        <w:rPr>
          <w:rFonts w:ascii="仿宋_GB2312" w:eastAsia="仿宋_GB2312" w:hAnsi="仿宋" w:cs="Tahoma" w:hint="eastAsia"/>
          <w:kern w:val="0"/>
          <w:sz w:val="32"/>
          <w:szCs w:val="32"/>
        </w:rPr>
        <w:t>工程</w:t>
      </w:r>
      <w:bookmarkEnd w:id="2"/>
      <w:r w:rsidR="00D36B8A" w:rsidRPr="00D36B8A">
        <w:rPr>
          <w:rFonts w:ascii="仿宋_GB2312" w:eastAsia="仿宋_GB2312" w:hAnsi="仿宋" w:cs="Tahoma" w:hint="eastAsia"/>
          <w:kern w:val="0"/>
          <w:sz w:val="32"/>
          <w:szCs w:val="32"/>
        </w:rPr>
        <w:t>-硕士论文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名单。</w:t>
      </w:r>
    </w:p>
    <w:p w:rsidR="005903B4" w:rsidRDefault="00B929A8">
      <w:pPr>
        <w:topLinePunct/>
        <w:adjustRightInd w:val="0"/>
        <w:spacing w:beforeLines="50" w:before="156" w:afterLines="50" w:after="156" w:line="560" w:lineRule="exact"/>
        <w:jc w:val="center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第</w:t>
      </w:r>
      <w:r w:rsidR="00D36B8A">
        <w:rPr>
          <w:rFonts w:ascii="黑体" w:eastAsia="黑体" w:hAnsi="黑体" w:cs="Tahoma" w:hint="eastAsia"/>
          <w:kern w:val="0"/>
          <w:sz w:val="32"/>
          <w:szCs w:val="32"/>
        </w:rPr>
        <w:t>四</w:t>
      </w:r>
      <w:r>
        <w:rPr>
          <w:rFonts w:ascii="黑体" w:eastAsia="黑体" w:hAnsi="黑体" w:cs="Tahoma" w:hint="eastAsia"/>
          <w:kern w:val="0"/>
          <w:sz w:val="32"/>
          <w:szCs w:val="32"/>
        </w:rPr>
        <w:t>章 回避与异议处理</w:t>
      </w:r>
    </w:p>
    <w:p w:rsidR="005903B4" w:rsidRDefault="00B929A8">
      <w:pPr>
        <w:topLinePunct/>
        <w:adjustRightInd w:val="0"/>
        <w:spacing w:line="560" w:lineRule="exact"/>
        <w:ind w:firstLine="640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b/>
          <w:bCs/>
          <w:kern w:val="0"/>
          <w:sz w:val="32"/>
          <w:szCs w:val="32"/>
        </w:rPr>
        <w:t>第十</w:t>
      </w:r>
      <w:r w:rsidR="00285BC5">
        <w:rPr>
          <w:rFonts w:ascii="仿宋" w:eastAsia="仿宋" w:hAnsi="仿宋" w:cs="Tahoma" w:hint="eastAsia"/>
          <w:b/>
          <w:bCs/>
          <w:kern w:val="0"/>
          <w:sz w:val="32"/>
          <w:szCs w:val="32"/>
        </w:rPr>
        <w:t>四</w:t>
      </w:r>
      <w:r>
        <w:rPr>
          <w:rFonts w:ascii="仿宋" w:eastAsia="仿宋" w:hAnsi="仿宋" w:cs="Tahoma" w:hint="eastAsia"/>
          <w:b/>
          <w:bCs/>
          <w:kern w:val="0"/>
          <w:sz w:val="32"/>
          <w:szCs w:val="32"/>
        </w:rPr>
        <w:t xml:space="preserve">条 </w:t>
      </w:r>
      <w:r>
        <w:rPr>
          <w:rFonts w:ascii="仿宋" w:eastAsia="仿宋" w:hAnsi="仿宋" w:cs="Tahoma" w:hint="eastAsia"/>
          <w:kern w:val="0"/>
          <w:sz w:val="32"/>
          <w:szCs w:val="32"/>
        </w:rPr>
        <w:t>评审专家的遴选需遵循回避和保密制度。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评审专家对自己指导过的硕士论文、本单位的硕士论文以及有利害冲突的硕士论文需主动提出回避。</w:t>
      </w:r>
    </w:p>
    <w:p w:rsidR="005903B4" w:rsidRDefault="00B929A8">
      <w:pPr>
        <w:widowControl/>
        <w:spacing w:line="560" w:lineRule="exact"/>
        <w:ind w:firstLineChars="200" w:firstLine="643"/>
        <w:rPr>
          <w:rFonts w:ascii="仿宋" w:eastAsia="仿宋_GB2312" w:hAnsi="仿宋" w:cs="Tahoma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bCs/>
          <w:kern w:val="0"/>
          <w:sz w:val="32"/>
          <w:szCs w:val="32"/>
        </w:rPr>
        <w:t>第十</w:t>
      </w:r>
      <w:r w:rsidR="00285BC5">
        <w:rPr>
          <w:rFonts w:ascii="仿宋_GB2312" w:eastAsia="仿宋_GB2312" w:hAnsi="仿宋" w:cs="Tahoma" w:hint="eastAsia"/>
          <w:b/>
          <w:bCs/>
          <w:kern w:val="0"/>
          <w:sz w:val="32"/>
          <w:szCs w:val="32"/>
        </w:rPr>
        <w:t>五</w:t>
      </w:r>
      <w:r>
        <w:rPr>
          <w:rFonts w:ascii="仿宋_GB2312" w:eastAsia="仿宋_GB2312" w:hAnsi="仿宋" w:cs="Tahoma" w:hint="eastAsia"/>
          <w:b/>
          <w:bCs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>中国自动化学会负责异议事项的处理，并对提出异议的个人或单位保密。提出异议方式及异议材料提供要求请参见“第十二条”。</w:t>
      </w:r>
    </w:p>
    <w:p w:rsidR="005903B4" w:rsidRDefault="00B929A8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第十</w:t>
      </w:r>
      <w:r w:rsidR="00285BC5">
        <w:rPr>
          <w:rFonts w:ascii="仿宋_GB2312" w:eastAsia="仿宋_GB2312" w:hAnsi="仿宋" w:cs="Tahoma" w:hint="eastAsia"/>
          <w:b/>
          <w:kern w:val="0"/>
          <w:sz w:val="32"/>
          <w:szCs w:val="32"/>
        </w:rPr>
        <w:t>六</w:t>
      </w: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评选过程中若发现参评论文作者存在抄袭、剽窃等学术道德问题，评审委员会有权取消该论文的参评资格；若颁奖之后发现上述问题，学会将撤销其获奖资格、收回获奖证书、荣誉奖章，并予以公布。</w:t>
      </w:r>
    </w:p>
    <w:p w:rsidR="005903B4" w:rsidRDefault="00B929A8">
      <w:pPr>
        <w:topLinePunct/>
        <w:adjustRightInd w:val="0"/>
        <w:spacing w:line="560" w:lineRule="exact"/>
        <w:ind w:firstLineChars="200" w:firstLine="643"/>
        <w:rPr>
          <w:rFonts w:ascii="仿宋_GB2312" w:eastAsia="仿宋_GB2312" w:hAnsi="仿宋" w:cs="Tahoma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lastRenderedPageBreak/>
        <w:t>第十</w:t>
      </w:r>
      <w:r w:rsidR="00285BC5">
        <w:rPr>
          <w:rFonts w:ascii="仿宋_GB2312" w:eastAsia="仿宋_GB2312" w:hAnsi="仿宋" w:cs="Tahoma" w:hint="eastAsia"/>
          <w:b/>
          <w:kern w:val="0"/>
          <w:sz w:val="32"/>
          <w:szCs w:val="32"/>
        </w:rPr>
        <w:t>七</w:t>
      </w:r>
      <w:r>
        <w:rPr>
          <w:rFonts w:ascii="仿宋_GB2312" w:eastAsia="仿宋_GB2312" w:hAnsi="仿宋" w:cs="Tahoma" w:hint="eastAsia"/>
          <w:b/>
          <w:kern w:val="0"/>
          <w:sz w:val="32"/>
          <w:szCs w:val="32"/>
        </w:rPr>
        <w:t>条</w:t>
      </w:r>
      <w:r>
        <w:rPr>
          <w:rFonts w:ascii="仿宋_GB2312" w:eastAsia="仿宋_GB2312" w:hAnsi="仿宋" w:cs="Tahoma" w:hint="eastAsia"/>
          <w:kern w:val="0"/>
          <w:sz w:val="32"/>
          <w:szCs w:val="32"/>
        </w:rPr>
        <w:t xml:space="preserve"> 本评选办法的解释权归中国自动化学会及其常务理事会所有。</w:t>
      </w:r>
    </w:p>
    <w:p w:rsidR="005903B4" w:rsidRDefault="005903B4"/>
    <w:sectPr w:rsidR="005903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5DE" w:rsidRDefault="001615DE">
      <w:pPr>
        <w:spacing w:line="240" w:lineRule="auto"/>
      </w:pPr>
      <w:r>
        <w:separator/>
      </w:r>
    </w:p>
  </w:endnote>
  <w:endnote w:type="continuationSeparator" w:id="0">
    <w:p w:rsidR="001615DE" w:rsidRDefault="00161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5DE" w:rsidRDefault="001615DE">
      <w:pPr>
        <w:spacing w:line="240" w:lineRule="auto"/>
      </w:pPr>
      <w:r>
        <w:separator/>
      </w:r>
    </w:p>
  </w:footnote>
  <w:footnote w:type="continuationSeparator" w:id="0">
    <w:p w:rsidR="001615DE" w:rsidRDefault="001615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0ODE4YWU1MWIwZmQwZmQyNDhhODgyNjYwMjU1ZDQifQ=="/>
  </w:docVars>
  <w:rsids>
    <w:rsidRoot w:val="00E21E07"/>
    <w:rsid w:val="000349B7"/>
    <w:rsid w:val="000663A5"/>
    <w:rsid w:val="000E676E"/>
    <w:rsid w:val="000E6B06"/>
    <w:rsid w:val="00124B60"/>
    <w:rsid w:val="00150026"/>
    <w:rsid w:val="001615DE"/>
    <w:rsid w:val="00163F18"/>
    <w:rsid w:val="001B1DC3"/>
    <w:rsid w:val="001C6319"/>
    <w:rsid w:val="00213B81"/>
    <w:rsid w:val="0025156E"/>
    <w:rsid w:val="00253760"/>
    <w:rsid w:val="002557A7"/>
    <w:rsid w:val="00285BC5"/>
    <w:rsid w:val="00293724"/>
    <w:rsid w:val="00294555"/>
    <w:rsid w:val="002A1531"/>
    <w:rsid w:val="002E1703"/>
    <w:rsid w:val="003434C1"/>
    <w:rsid w:val="003518F9"/>
    <w:rsid w:val="0037166C"/>
    <w:rsid w:val="00395CFA"/>
    <w:rsid w:val="0040298E"/>
    <w:rsid w:val="00466414"/>
    <w:rsid w:val="00467B12"/>
    <w:rsid w:val="004841A3"/>
    <w:rsid w:val="00491CA4"/>
    <w:rsid w:val="005071C7"/>
    <w:rsid w:val="00515E6E"/>
    <w:rsid w:val="0055446D"/>
    <w:rsid w:val="00556F58"/>
    <w:rsid w:val="00575243"/>
    <w:rsid w:val="00581FCE"/>
    <w:rsid w:val="005903B4"/>
    <w:rsid w:val="005C2846"/>
    <w:rsid w:val="00606AC5"/>
    <w:rsid w:val="00623F43"/>
    <w:rsid w:val="00681D81"/>
    <w:rsid w:val="006B7F1E"/>
    <w:rsid w:val="00744F0E"/>
    <w:rsid w:val="0076224F"/>
    <w:rsid w:val="008102B2"/>
    <w:rsid w:val="008A161A"/>
    <w:rsid w:val="008F3351"/>
    <w:rsid w:val="00931369"/>
    <w:rsid w:val="00977649"/>
    <w:rsid w:val="009875F5"/>
    <w:rsid w:val="00AB2FC1"/>
    <w:rsid w:val="00AC5E46"/>
    <w:rsid w:val="00B13108"/>
    <w:rsid w:val="00B47F83"/>
    <w:rsid w:val="00B60DEC"/>
    <w:rsid w:val="00B7316E"/>
    <w:rsid w:val="00B81BE4"/>
    <w:rsid w:val="00B929A8"/>
    <w:rsid w:val="00BA11D8"/>
    <w:rsid w:val="00C413D1"/>
    <w:rsid w:val="00C45B5B"/>
    <w:rsid w:val="00CA271B"/>
    <w:rsid w:val="00CD11E1"/>
    <w:rsid w:val="00CE7486"/>
    <w:rsid w:val="00CF159B"/>
    <w:rsid w:val="00D10898"/>
    <w:rsid w:val="00D36B8A"/>
    <w:rsid w:val="00D47A7F"/>
    <w:rsid w:val="00D64AE6"/>
    <w:rsid w:val="00D939D6"/>
    <w:rsid w:val="00DB4E27"/>
    <w:rsid w:val="00DC1999"/>
    <w:rsid w:val="00DE4BF9"/>
    <w:rsid w:val="00DE73BD"/>
    <w:rsid w:val="00E0123B"/>
    <w:rsid w:val="00E21E07"/>
    <w:rsid w:val="00E2688E"/>
    <w:rsid w:val="00E643C8"/>
    <w:rsid w:val="00EA11B3"/>
    <w:rsid w:val="00EA3A91"/>
    <w:rsid w:val="00EB66A1"/>
    <w:rsid w:val="00EC0763"/>
    <w:rsid w:val="00EC4D19"/>
    <w:rsid w:val="00ED1785"/>
    <w:rsid w:val="00ED7FE8"/>
    <w:rsid w:val="00EE59D7"/>
    <w:rsid w:val="00F87339"/>
    <w:rsid w:val="00F92722"/>
    <w:rsid w:val="00FC4299"/>
    <w:rsid w:val="0A9E1B18"/>
    <w:rsid w:val="0B5E0811"/>
    <w:rsid w:val="0B8911A8"/>
    <w:rsid w:val="0BBA6DAD"/>
    <w:rsid w:val="0CA05F74"/>
    <w:rsid w:val="0D657A6B"/>
    <w:rsid w:val="12483364"/>
    <w:rsid w:val="13B078B7"/>
    <w:rsid w:val="146D2C0E"/>
    <w:rsid w:val="1651443F"/>
    <w:rsid w:val="169A6F29"/>
    <w:rsid w:val="1A332204"/>
    <w:rsid w:val="1E7D586A"/>
    <w:rsid w:val="235A65D4"/>
    <w:rsid w:val="26285D51"/>
    <w:rsid w:val="26A8226E"/>
    <w:rsid w:val="282F4B94"/>
    <w:rsid w:val="2A5C7D94"/>
    <w:rsid w:val="2B682F54"/>
    <w:rsid w:val="2C7F577D"/>
    <w:rsid w:val="2C9B3129"/>
    <w:rsid w:val="308B2942"/>
    <w:rsid w:val="32F347CF"/>
    <w:rsid w:val="34DA5C46"/>
    <w:rsid w:val="388F4F9A"/>
    <w:rsid w:val="3CF96E61"/>
    <w:rsid w:val="3D8E5820"/>
    <w:rsid w:val="405926E5"/>
    <w:rsid w:val="412012F5"/>
    <w:rsid w:val="41B210F1"/>
    <w:rsid w:val="4230334A"/>
    <w:rsid w:val="44511355"/>
    <w:rsid w:val="47435ADC"/>
    <w:rsid w:val="48C525CF"/>
    <w:rsid w:val="48CC37EB"/>
    <w:rsid w:val="4A7F5D33"/>
    <w:rsid w:val="4B4F1C8E"/>
    <w:rsid w:val="4DC46728"/>
    <w:rsid w:val="50CF4AE9"/>
    <w:rsid w:val="55F10BEA"/>
    <w:rsid w:val="5A2A0227"/>
    <w:rsid w:val="5C5E7971"/>
    <w:rsid w:val="5EB511BC"/>
    <w:rsid w:val="5EF9018F"/>
    <w:rsid w:val="5F0F73D3"/>
    <w:rsid w:val="606B444A"/>
    <w:rsid w:val="686E4895"/>
    <w:rsid w:val="69DF2DDC"/>
    <w:rsid w:val="6A7177BA"/>
    <w:rsid w:val="78F41CD4"/>
    <w:rsid w:val="79FF2246"/>
    <w:rsid w:val="7B9A6B62"/>
    <w:rsid w:val="7C642785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3786E"/>
  <w15:docId w15:val="{58CE1BF6-2B1F-44A6-B12B-8A294EB3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0" w:lineRule="atLeast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semiHidden/>
    <w:qFormat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xwbt1">
    <w:name w:val="xwbt1"/>
    <w:qFormat/>
    <w:rPr>
      <w:b/>
      <w:bCs/>
      <w:sz w:val="37"/>
      <w:szCs w:val="37"/>
    </w:rPr>
  </w:style>
  <w:style w:type="paragraph" w:styleId="a5">
    <w:name w:val="List Paragraph"/>
    <w:uiPriority w:val="34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styleId="a6">
    <w:name w:val="header"/>
    <w:basedOn w:val="a"/>
    <w:link w:val="a7"/>
    <w:rsid w:val="005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15E6E"/>
    <w:rPr>
      <w:kern w:val="2"/>
      <w:sz w:val="18"/>
      <w:szCs w:val="18"/>
    </w:rPr>
  </w:style>
  <w:style w:type="paragraph" w:styleId="a8">
    <w:name w:val="footer"/>
    <w:basedOn w:val="a"/>
    <w:link w:val="a9"/>
    <w:rsid w:val="00515E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15E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黄彬</cp:lastModifiedBy>
  <cp:revision>9</cp:revision>
  <cp:lastPrinted>2022-04-11T07:28:00Z</cp:lastPrinted>
  <dcterms:created xsi:type="dcterms:W3CDTF">2024-03-26T03:08:00Z</dcterms:created>
  <dcterms:modified xsi:type="dcterms:W3CDTF">2024-06-28T01:55:00Z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3AA93FA798F542B6A58E8A14F34082F0</vt:lpwstr>
  </property>
</Properties>
</file>